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495C1" w14:textId="77777777" w:rsidR="005F1E75" w:rsidRDefault="00D97319">
      <w:pPr>
        <w:spacing w:after="0" w:line="240" w:lineRule="auto"/>
        <w:jc w:val="center"/>
        <w:rPr>
          <w:rFonts w:ascii="Candara" w:eastAsia="SimSun" w:hAnsi="Candara" w:cs="Arial"/>
          <w:sz w:val="28"/>
          <w:szCs w:val="28"/>
        </w:rPr>
      </w:pPr>
      <w:r>
        <w:rPr>
          <w:rFonts w:ascii="Candara" w:eastAsia="SimSun" w:hAnsi="Candara" w:cs="Arial"/>
          <w:b/>
          <w:bCs/>
          <w:sz w:val="28"/>
          <w:szCs w:val="28"/>
        </w:rPr>
        <w:t>Research on media education cooperation between China and Azerbaijan in the context of the Belt and Road Initiative</w:t>
      </w:r>
    </w:p>
    <w:p w14:paraId="5891C648" w14:textId="77777777" w:rsidR="005F1E75" w:rsidRDefault="005F1E75">
      <w:pPr>
        <w:spacing w:after="0" w:line="240" w:lineRule="auto"/>
        <w:jc w:val="both"/>
        <w:rPr>
          <w:rFonts w:ascii="Candara" w:eastAsia="SimSun" w:hAnsi="Candara" w:cs="Arial"/>
          <w:sz w:val="24"/>
          <w:szCs w:val="24"/>
        </w:rPr>
      </w:pPr>
    </w:p>
    <w:p w14:paraId="6B70A8B2" w14:textId="62FE9DC9" w:rsidR="005F1E75" w:rsidRDefault="00D97319">
      <w:pPr>
        <w:spacing w:after="0" w:line="240" w:lineRule="auto"/>
        <w:jc w:val="center"/>
        <w:rPr>
          <w:rFonts w:ascii="Candara" w:eastAsia="SimSun" w:hAnsi="Candara" w:cs="Arial"/>
          <w:sz w:val="24"/>
          <w:szCs w:val="24"/>
        </w:rPr>
      </w:pPr>
      <w:r>
        <w:rPr>
          <w:rFonts w:ascii="Candara" w:eastAsia="SimSun" w:hAnsi="Candara" w:cs="Arial"/>
          <w:b/>
          <w:bCs/>
          <w:sz w:val="24"/>
          <w:szCs w:val="24"/>
        </w:rPr>
        <w:t>Yang Xue</w:t>
      </w:r>
    </w:p>
    <w:p w14:paraId="5C04AE1F" w14:textId="36A1EA96" w:rsidR="005F1E75" w:rsidRDefault="00D97319">
      <w:pPr>
        <w:spacing w:after="0" w:line="240" w:lineRule="auto"/>
        <w:jc w:val="center"/>
        <w:rPr>
          <w:rFonts w:ascii="Candara" w:eastAsia="SimSun" w:hAnsi="Candara" w:cs="Arial"/>
          <w:sz w:val="24"/>
          <w:szCs w:val="24"/>
        </w:rPr>
      </w:pPr>
      <w:r>
        <w:rPr>
          <w:rFonts w:ascii="Candara" w:eastAsia="SimSun" w:hAnsi="Candara" w:cs="Arial"/>
          <w:sz w:val="24"/>
          <w:szCs w:val="24"/>
        </w:rPr>
        <w:t>Department of Journalism, Baku State University, Baku, Azerbaijan</w:t>
      </w:r>
    </w:p>
    <w:p w14:paraId="3A98C609" w14:textId="77777777" w:rsidR="005F1E75" w:rsidRDefault="005F1E75">
      <w:pPr>
        <w:spacing w:after="0" w:line="240" w:lineRule="auto"/>
        <w:jc w:val="both"/>
        <w:rPr>
          <w:rFonts w:ascii="Candara" w:eastAsia="SimSun" w:hAnsi="Candara" w:cs="Arial"/>
          <w:sz w:val="24"/>
          <w:szCs w:val="24"/>
        </w:rPr>
      </w:pPr>
    </w:p>
    <w:p w14:paraId="11F21AE5"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Abstract</w:t>
      </w:r>
    </w:p>
    <w:p w14:paraId="0FFE6B95"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sz w:val="24"/>
          <w:szCs w:val="24"/>
        </w:rPr>
        <w:t xml:space="preserve">Against the background of the Belt and Road Initiative and the rapid development of digital media, educational and cultural exchanges between China and Azerbaijan have continued to develop, and media education has gradually become an area of interest in bilateral educational cooperation. This study aims to analyze the practical foundations, main forms, and challenges in the development of media education cooperation between China and Azerbaijan. Adopting a qualitative document analysis approach, this study </w:t>
      </w:r>
      <w:r>
        <w:rPr>
          <w:rFonts w:ascii="Candara" w:eastAsia="SimSun" w:hAnsi="Candara" w:cs="Arial"/>
          <w:sz w:val="24"/>
          <w:szCs w:val="24"/>
        </w:rPr>
        <w:t>draws mainly on government policy documents, bilateral cooperation documents, university-level materials, educational-institution publications, and relevant news reports covering the period 2012-2025. The analysis begins with the signing of the China and Azerbaijan educational cooperation agreement in 2012. The collected materials were analyzed thematically to examine the development of bilateral cooperation. The findings show that existing educational cooperation between China and Azerbaijan has concentrat</w:t>
      </w:r>
      <w:r>
        <w:rPr>
          <w:rFonts w:ascii="Candara" w:eastAsia="SimSun" w:hAnsi="Candara" w:cs="Arial"/>
          <w:sz w:val="24"/>
          <w:szCs w:val="24"/>
        </w:rPr>
        <w:t>ed on Chinese language education, cultural exchange, faculty and student mobility, and inter-university partnerships. These activities constitute a foundation for advancing media-education cooperation. Nevertheless, cooperation targeting digital media practice, journalism training, and media literacy education remains limited, and a systematic cooperation framework has not yet been established. Language differences, differences in curricula and teaching resources, and insufficient practical training platfor</w:t>
      </w:r>
      <w:r>
        <w:rPr>
          <w:rFonts w:ascii="Candara" w:eastAsia="SimSun" w:hAnsi="Candara" w:cs="Arial"/>
          <w:sz w:val="24"/>
          <w:szCs w:val="24"/>
        </w:rPr>
        <w:t>ms represent major obstacles to the further development of media education cooperation. This study contributes to the existing literature by examining educational exchanges between China and Azerbaijan from the perspectives of media education, intercultural communication, and international communication, and by exploring how broader educational exchanges relate to the development of media education cooperation. One limitation is that the analysis relies on publicly available documentary sources and does not</w:t>
      </w:r>
      <w:r>
        <w:rPr>
          <w:rFonts w:ascii="Candara" w:eastAsia="SimSun" w:hAnsi="Candara" w:cs="Arial"/>
          <w:sz w:val="24"/>
          <w:szCs w:val="24"/>
        </w:rPr>
        <w:t xml:space="preserve"> include interviews or questionnaires; therefore, it provides limited insight into the implementation of individual projects and participants’ experiences.</w:t>
      </w:r>
    </w:p>
    <w:p w14:paraId="2E71E2EF"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Keywords:</w:t>
      </w:r>
    </w:p>
    <w:p w14:paraId="621BC051"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sz w:val="24"/>
          <w:szCs w:val="24"/>
        </w:rPr>
        <w:t>China; Azerbaijan; Media Education; Belt and Road Initiative; Educational Cooperation; Media Literacy</w:t>
      </w:r>
    </w:p>
    <w:p w14:paraId="5DADC6EE" w14:textId="77777777" w:rsidR="005F1E75" w:rsidRDefault="005F1E75">
      <w:pPr>
        <w:spacing w:after="0" w:line="240" w:lineRule="auto"/>
        <w:jc w:val="both"/>
        <w:rPr>
          <w:rFonts w:ascii="Candara" w:eastAsia="SimSun" w:hAnsi="Candara" w:cs="Arial"/>
          <w:sz w:val="24"/>
          <w:szCs w:val="24"/>
        </w:rPr>
      </w:pPr>
    </w:p>
    <w:p w14:paraId="6EB57AB0"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Article History:</w:t>
      </w:r>
    </w:p>
    <w:p w14:paraId="4330B729" w14:textId="7172EFAA" w:rsidR="005F1E75" w:rsidRDefault="00D97319">
      <w:pPr>
        <w:spacing w:after="0" w:line="240" w:lineRule="auto"/>
        <w:jc w:val="both"/>
        <w:rPr>
          <w:rFonts w:ascii="Candara" w:eastAsia="SimSun" w:hAnsi="Candara" w:cs="Arial"/>
          <w:sz w:val="24"/>
          <w:szCs w:val="24"/>
        </w:rPr>
      </w:pPr>
      <w:r>
        <w:rPr>
          <w:rFonts w:ascii="Candara" w:eastAsia="SimSun" w:hAnsi="Candara" w:cs="Arial"/>
          <w:sz w:val="24"/>
          <w:szCs w:val="24"/>
        </w:rPr>
        <w:t xml:space="preserve">Received: </w:t>
      </w:r>
      <w:r w:rsidR="00560D0E" w:rsidRPr="00560D0E">
        <w:rPr>
          <w:rFonts w:ascii="Candara" w:eastAsia="SimSun" w:hAnsi="Candara" w:cs="Arial"/>
          <w:sz w:val="24"/>
          <w:szCs w:val="24"/>
        </w:rPr>
        <w:t>September 7, 2026</w:t>
      </w:r>
      <w:r>
        <w:rPr>
          <w:rFonts w:ascii="Candara" w:eastAsia="SimSun" w:hAnsi="Candara" w:cs="Arial"/>
          <w:sz w:val="24"/>
          <w:szCs w:val="24"/>
        </w:rPr>
        <w:t xml:space="preserve">; Revised: </w:t>
      </w:r>
      <w:r w:rsidR="00560D0E" w:rsidRPr="00560D0E">
        <w:rPr>
          <w:rFonts w:ascii="Candara" w:eastAsia="SimSun" w:hAnsi="Candara" w:cs="Arial"/>
          <w:sz w:val="24"/>
          <w:szCs w:val="24"/>
        </w:rPr>
        <w:t>October 2, 2026</w:t>
      </w:r>
      <w:r>
        <w:rPr>
          <w:rFonts w:ascii="Candara" w:eastAsia="SimSun" w:hAnsi="Candara" w:cs="Arial"/>
          <w:sz w:val="24"/>
          <w:szCs w:val="24"/>
        </w:rPr>
        <w:t xml:space="preserve">; Accepted: </w:t>
      </w:r>
      <w:r w:rsidR="00560D0E" w:rsidRPr="00560D0E">
        <w:rPr>
          <w:rFonts w:ascii="Candara" w:eastAsia="SimSun" w:hAnsi="Candara" w:cs="Arial"/>
          <w:sz w:val="24"/>
          <w:szCs w:val="24"/>
        </w:rPr>
        <w:t>October 9, 2026</w:t>
      </w:r>
      <w:r>
        <w:rPr>
          <w:rFonts w:ascii="Candara" w:eastAsia="SimSun" w:hAnsi="Candara" w:cs="Arial"/>
          <w:sz w:val="24"/>
          <w:szCs w:val="24"/>
        </w:rPr>
        <w:t xml:space="preserve">; Published: </w:t>
      </w:r>
      <w:r w:rsidR="00560D0E" w:rsidRPr="00560D0E">
        <w:rPr>
          <w:rFonts w:ascii="Candara" w:eastAsia="SimSun" w:hAnsi="Candara" w:cs="Arial"/>
          <w:sz w:val="24"/>
          <w:szCs w:val="24"/>
        </w:rPr>
        <w:t xml:space="preserve">October </w:t>
      </w:r>
      <w:r w:rsidR="00560D0E">
        <w:rPr>
          <w:rFonts w:ascii="Candara" w:eastAsia="SimSun" w:hAnsi="Candara" w:cs="Arial"/>
          <w:sz w:val="24"/>
          <w:szCs w:val="24"/>
        </w:rPr>
        <w:t>23</w:t>
      </w:r>
      <w:r w:rsidR="00560D0E" w:rsidRPr="00560D0E">
        <w:rPr>
          <w:rFonts w:ascii="Candara" w:eastAsia="SimSun" w:hAnsi="Candara" w:cs="Arial"/>
          <w:sz w:val="24"/>
          <w:szCs w:val="24"/>
        </w:rPr>
        <w:t>, 2026</w:t>
      </w:r>
    </w:p>
    <w:p w14:paraId="3EEF783C" w14:textId="77777777" w:rsidR="005F1E75" w:rsidRDefault="005F1E75">
      <w:pPr>
        <w:spacing w:after="0" w:line="240" w:lineRule="auto"/>
        <w:jc w:val="both"/>
        <w:rPr>
          <w:rFonts w:ascii="Candara" w:eastAsia="SimSun" w:hAnsi="Candara" w:cs="Arial"/>
          <w:sz w:val="24"/>
          <w:szCs w:val="24"/>
        </w:rPr>
      </w:pPr>
    </w:p>
    <w:p w14:paraId="03E4758F"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vertAlign w:val="superscript"/>
        </w:rPr>
        <w:t>*</w:t>
      </w:r>
      <w:r>
        <w:rPr>
          <w:rFonts w:ascii="Candara" w:eastAsia="SimSun" w:hAnsi="Candara" w:cs="Arial"/>
          <w:b/>
          <w:bCs/>
          <w:sz w:val="24"/>
          <w:szCs w:val="24"/>
        </w:rPr>
        <w:t xml:space="preserve">Corresponding Author: </w:t>
      </w:r>
    </w:p>
    <w:p w14:paraId="6E7EA7AB"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sz w:val="24"/>
          <w:szCs w:val="24"/>
        </w:rPr>
        <w:t>2425415100@qq.com</w:t>
      </w:r>
      <w:r>
        <w:br w:type="page"/>
      </w:r>
    </w:p>
    <w:p w14:paraId="0BF33838"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lastRenderedPageBreak/>
        <w:t>INTRODUCTION</w:t>
      </w:r>
    </w:p>
    <w:p w14:paraId="0CC081CE"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In recent years, with the advancement of the Belt and Road Initiative, the expansion of international educational exchange, and the rapid development of digital media technologies, media education has attracted increasing attention in journalism and communication training, media literacy development, and intercultural communication. The development of the internet, social media, and artificial intelligence has continuously changed the ways in which information is produced and disseminated, while also creati</w:t>
      </w:r>
      <w:r>
        <w:rPr>
          <w:rFonts w:ascii="Candara" w:eastAsia="SimSun" w:hAnsi="Candara" w:cs="Arial"/>
          <w:sz w:val="24"/>
          <w:szCs w:val="24"/>
        </w:rPr>
        <w:t>ng new requirements for the content and practice of media education. Media education has therefore expanded beyond traditional journalism and communication skills to include media literacy, information discernment, digital media practice, and international communication competence.</w:t>
      </w:r>
    </w:p>
    <w:p w14:paraId="50407DEC"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continued development of educational and cultural exchanges between China and Azerbaijan provides a practical context for the further development of media education cooperation. Located at the crossroads of Europe and Asia, Azerbaijan has an important position in regional cultural and information exchange. At the same time, China’s development in areas such as digital media, big data, artificial intelligence, and 5G technologies has created new conditions for media education and digital communication pr</w:t>
      </w:r>
      <w:r>
        <w:rPr>
          <w:rFonts w:ascii="Candara" w:eastAsia="SimSun" w:hAnsi="Candara" w:cs="Arial"/>
          <w:sz w:val="24"/>
          <w:szCs w:val="24"/>
        </w:rPr>
        <w:t>actice. In this context, media education provides a potential area for professional training, educational exchange, and cultural communication between universities in the two countries.</w:t>
      </w:r>
    </w:p>
    <w:p w14:paraId="552BA884"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Although existing educational exchanges provide a basis for further media education cooperation, several limitations remain in the related research. First, specialized studies on media education cooperation between China and Azerbaijan are relatively limited. Second, insufficient attention has been paid to media education practices in the context of digital media and artificial intelligence. Third, systematic analysis of media education cooperation between the two countries from the perspectives of intercul</w:t>
      </w:r>
      <w:r>
        <w:rPr>
          <w:rFonts w:ascii="Candara" w:eastAsia="SimSun" w:hAnsi="Candara" w:cs="Arial"/>
          <w:sz w:val="24"/>
          <w:szCs w:val="24"/>
        </w:rPr>
        <w:t>tural communication and international communication remains limited. Therefore, further examination is needed of the practical foundations, development, and challenges of media education cooperation between China and Azerbaijan.</w:t>
      </w:r>
    </w:p>
    <w:p w14:paraId="7683B6F8" w14:textId="77777777" w:rsidR="005F1E75" w:rsidRDefault="005F1E75">
      <w:pPr>
        <w:spacing w:after="0" w:line="240" w:lineRule="auto"/>
        <w:jc w:val="both"/>
        <w:rPr>
          <w:rFonts w:ascii="Candara" w:eastAsia="SimSun" w:hAnsi="Candara" w:cs="Arial"/>
          <w:sz w:val="24"/>
          <w:szCs w:val="24"/>
        </w:rPr>
      </w:pPr>
    </w:p>
    <w:p w14:paraId="360F5050"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LITERATURE REVIEW</w:t>
      </w:r>
    </w:p>
    <w:p w14:paraId="0488EF99" w14:textId="24C08D03"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Existing research on </w:t>
      </w:r>
      <w:r w:rsidR="00560D0E">
        <w:rPr>
          <w:rFonts w:ascii="Candara" w:eastAsia="SimSun" w:hAnsi="Candara" w:cs="Arial"/>
          <w:sz w:val="24"/>
          <w:szCs w:val="24"/>
        </w:rPr>
        <w:t>China-Azerbaijan</w:t>
      </w:r>
      <w:r>
        <w:rPr>
          <w:rFonts w:ascii="Candara" w:eastAsia="SimSun" w:hAnsi="Candara" w:cs="Arial"/>
          <w:sz w:val="24"/>
          <w:szCs w:val="24"/>
        </w:rPr>
        <w:t xml:space="preserve"> educational cooperation has mainly focused on higher education, student mobility, language education, and broader educational exchanges within the framework of the Belt and Road Initiative. Yue et al. (2022), in their review of higher education under the Belt and Road Initiative, identified international student mobility, institutional cooperation, and the development of collaborative mechanisms as important themes, while also noting differences in the development of cooperation across regions. Peters (202</w:t>
      </w:r>
      <w:r>
        <w:rPr>
          <w:rFonts w:ascii="Candara" w:eastAsia="SimSun" w:hAnsi="Candara" w:cs="Arial"/>
          <w:sz w:val="24"/>
          <w:szCs w:val="24"/>
        </w:rPr>
        <w:t>2) further discussed the relationship between the Belt and Road Initiative and educational exchange, emphasizing education as a broader context for people-to-people exchange and intercultural dialogue. These studies provide a useful contextual basis for understanding China and Azerbaijan educational cooperation, but they mainly address higher education and international educational exchange rather than media education as a specific field.</w:t>
      </w:r>
    </w:p>
    <w:p w14:paraId="145C6E97"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A second body of literature concerns media and communication education in an international and digital context. Cooper et al. (2025) examined collaborative teaching in globalised media and communication education and highlighted the role of transnational collaboration, intercultural understanding, and cooperation among educators. This perspective is relevant to cross-border media education because it draws attention to the educational and intercultural dimensions of collaboration between institutions in dif</w:t>
      </w:r>
      <w:r>
        <w:rPr>
          <w:rFonts w:ascii="Candara" w:eastAsia="SimSun" w:hAnsi="Candara" w:cs="Arial"/>
          <w:sz w:val="24"/>
          <w:szCs w:val="24"/>
        </w:rPr>
        <w:t xml:space="preserve">ferent countries. At the same time, research on media literacy in Azerbaijan has examined the integration of media literacy into the national education system (Niftaliyeva &amp; Najafli, 2024), while Pearce and Rice (2014) examined the relationship between language proficiency and access to the internet in Azerbaijan </w:t>
      </w:r>
      <w:r>
        <w:rPr>
          <w:rFonts w:ascii="Candara" w:eastAsia="SimSun" w:hAnsi="Candara" w:cs="Arial"/>
          <w:sz w:val="24"/>
          <w:szCs w:val="24"/>
        </w:rPr>
        <w:lastRenderedPageBreak/>
        <w:t>and other South Caucasus countries. Together, these studies indicate the importance of language, digital communication, and media literacy in the educational environment, but they do not specifical</w:t>
      </w:r>
      <w:r>
        <w:rPr>
          <w:rFonts w:ascii="Candara" w:eastAsia="SimSun" w:hAnsi="Candara" w:cs="Arial"/>
          <w:sz w:val="24"/>
          <w:szCs w:val="24"/>
        </w:rPr>
        <w:t>ly examine media education cooperation between Chinese and Azerbaijani institutions.</w:t>
      </w:r>
    </w:p>
    <w:p w14:paraId="390B5E90"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Overall, the existing literature provides relevant perspectives on Belt and Road educational cooperation, international and transnational media education, and media literacy in Azerbaijan. However, research specifically focusing on China and Azerbaijan media education cooperation remains limited. In particular, there is insufficient systematic analysis of the relationship between existing bilateral educational exchanges and media education, as well as limited discussion of cooperation in journalism educatio</w:t>
      </w:r>
      <w:r>
        <w:rPr>
          <w:rFonts w:ascii="Candara" w:eastAsia="SimSun" w:hAnsi="Candara" w:cs="Arial"/>
          <w:sz w:val="24"/>
          <w:szCs w:val="24"/>
        </w:rPr>
        <w:t>n, digital media practice, and media literacy in the context of the changing digital media environment. This study therefore examines China and Azerbaijan media education cooperation from these perspectives, focusing on its practical foundations, main forms, and current challenges.</w:t>
      </w:r>
    </w:p>
    <w:p w14:paraId="04378DA3" w14:textId="77777777" w:rsidR="005F1E75" w:rsidRDefault="005F1E75">
      <w:pPr>
        <w:spacing w:after="0" w:line="240" w:lineRule="auto"/>
        <w:jc w:val="both"/>
        <w:rPr>
          <w:rFonts w:ascii="Candara" w:eastAsia="SimSun" w:hAnsi="Candara" w:cs="Arial"/>
          <w:sz w:val="24"/>
          <w:szCs w:val="24"/>
        </w:rPr>
      </w:pPr>
    </w:p>
    <w:p w14:paraId="62415917"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RESEARCH QUESTIONS</w:t>
      </w:r>
    </w:p>
    <w:p w14:paraId="0003AE03"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This study focuses on publicly available policy documents, official statements, institutional reports, and media reports concerning educational and media cooperation between China and Azerbaijan. Based on these sources, the study seeks to answer the following questions: What are the main foundations of media education cooperation between China and Azerbaijan? What are the main forms of media education and related educational cooperation between the two countries? What challenges constrain the development of</w:t>
      </w:r>
      <w:r>
        <w:rPr>
          <w:rFonts w:ascii="Candara" w:eastAsia="SimSun" w:hAnsi="Candara" w:cs="Arial"/>
          <w:sz w:val="24"/>
          <w:szCs w:val="24"/>
        </w:rPr>
        <w:t xml:space="preserve"> media education cooperation between China and Azerbaijan, and what possible directions can be identified for future cooperation?</w:t>
      </w:r>
    </w:p>
    <w:p w14:paraId="283756B9" w14:textId="77777777" w:rsidR="005F1E75" w:rsidRDefault="005F1E75">
      <w:pPr>
        <w:spacing w:after="0" w:line="240" w:lineRule="auto"/>
        <w:jc w:val="both"/>
        <w:rPr>
          <w:rFonts w:ascii="Candara" w:eastAsia="SimSun" w:hAnsi="Candara" w:cs="Arial"/>
          <w:sz w:val="24"/>
          <w:szCs w:val="24"/>
        </w:rPr>
      </w:pPr>
    </w:p>
    <w:p w14:paraId="6E06C26F"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THEORETICAL AND CONTEXTUAL BACKGROUND</w:t>
      </w:r>
    </w:p>
    <w:p w14:paraId="145E1214"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Media-education-related cooperation between China and Azerbaijan can be examined through several conceptual fields: media education, intercultural communication, and international communication. This study adopts these three perspectives as its analytical lens for examining bilateral media education cooperation. In the digital age, media education has developed alongside changes in communication technologies and new media. It aims to cultivate media literacy and enable people to deal with media in an intell</w:t>
      </w:r>
      <w:r>
        <w:rPr>
          <w:rFonts w:ascii="Candara" w:eastAsia="SimSun" w:hAnsi="Candara" w:cs="Arial"/>
          <w:sz w:val="24"/>
          <w:szCs w:val="24"/>
        </w:rPr>
        <w:t xml:space="preserve">igent and responsible way (Lee, 2010). For cooperation between countries with different linguistic and cultural backgrounds, these media-related competencies also need to be considered in relation to intercultural communication. Cross-border media-education cooperation is also related to the development of intercultural competence. The relationship between media literacy and intercultural competence has been discussed in the context of foreign language education (Chudak, 2019). Therefore, amid internet and </w:t>
      </w:r>
      <w:r>
        <w:rPr>
          <w:rFonts w:ascii="Candara" w:eastAsia="SimSun" w:hAnsi="Candara" w:cs="Arial"/>
          <w:sz w:val="24"/>
          <w:szCs w:val="24"/>
        </w:rPr>
        <w:t>digital media development, modern bilateral media education cooperation encompasses not only professional skills training but also the development of media literacy, information discernment, and intercultural communication competence.</w:t>
      </w:r>
    </w:p>
    <w:p w14:paraId="77E83ACA"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Belt and Road Initiative provides a broader framework for educational and cultural exchange between China and Azerbaijan, within which media education cooperation can be examined.</w:t>
      </w:r>
    </w:p>
    <w:p w14:paraId="23245A0F"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Belt and Road Initiative originated with two major proposals made by Chinese President Xi Jinping in 2013. The Silk Road Economic Belt was proposed during his visit to Kazakhstan in September, while the 21st-Century Maritime Silk Road was introduced during his visit to Indonesia the following month. These two initiatives were subsequently brought together under the name of the Belt and Road Initiative (Svetlicinii, 2018). This initiative provides more opportunities for cooperation between China and coun</w:t>
      </w:r>
      <w:r>
        <w:rPr>
          <w:rFonts w:ascii="Candara" w:eastAsia="SimSun" w:hAnsi="Candara" w:cs="Arial"/>
          <w:sz w:val="24"/>
          <w:szCs w:val="24"/>
        </w:rPr>
        <w:t xml:space="preserve">tries along the Belt and Road, including in the strategic area of media education. As the global communication landscape </w:t>
      </w:r>
      <w:r>
        <w:rPr>
          <w:rFonts w:ascii="Candara" w:eastAsia="SimSun" w:hAnsi="Candara" w:cs="Arial"/>
          <w:sz w:val="24"/>
          <w:szCs w:val="24"/>
        </w:rPr>
        <w:lastRenderedPageBreak/>
        <w:t>undergoes significant transformation, the role of media is increasingly permeating interpersonal connections, cultural dissemination, and value formation between countries. Media education cooperation between China and Azerbaijan has a solid practical foundation. China’s long standing cultural history provides a profound basis for media education, while Azerbaijan also possesses a rich an</w:t>
      </w:r>
      <w:r>
        <w:rPr>
          <w:rFonts w:ascii="Candara" w:eastAsia="SimSun" w:hAnsi="Candara" w:cs="Arial"/>
          <w:sz w:val="24"/>
          <w:szCs w:val="24"/>
        </w:rPr>
        <w:t>d distinctive cultural tradition. Such cultural differences create a strong foundation for “dialogue” and “mutual learning” in media education between the two countries, enriching teaching content with greater cultural depth and adding innovative elements to teaching approaches. Meanwhile, with the development of modern technologies, China has built significant competitiveness in big data, artificial intelligence, virtual reality, and 5G technologies. “With its characteristics of high bandwidth, low latency</w:t>
      </w:r>
      <w:r>
        <w:rPr>
          <w:rFonts w:ascii="Candara" w:eastAsia="SimSun" w:hAnsi="Candara" w:cs="Arial"/>
          <w:sz w:val="24"/>
          <w:szCs w:val="24"/>
        </w:rPr>
        <w:t>, and massive connectivity, 5G technology has reshaped the spatiotemporal structure of information dissemination and provided a solid technological foundation for media convergence” (Zhang, 2025, p. 172). This provides a solid basis for China and Azerbaijan to jointly carry out teaching in modern media technologies and offers more practical opportunities for professionals in this field.</w:t>
      </w:r>
    </w:p>
    <w:p w14:paraId="449FC2E5"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In recent years, both China and Azerbaijan have continuously cultivated a large number of excellent media professionals, and many universities in both countries have established programs in journalism and communication, media management, and new media. This strong talent base provides sufficient human resources for China and Azerbaijan to carry out joint teaching and practical cooperation. With the advancement of the “Belt and Road Initiative,” an increasing number of young people from China and Azerbaijan </w:t>
      </w:r>
      <w:r>
        <w:rPr>
          <w:rFonts w:ascii="Candara" w:eastAsia="SimSun" w:hAnsi="Candara" w:cs="Arial"/>
          <w:sz w:val="24"/>
          <w:szCs w:val="24"/>
        </w:rPr>
        <w:t>with overseas study experience are also gradually participating in educational and media cooperation, contributing their youth and intellectual resources to media innovation.</w:t>
      </w:r>
    </w:p>
    <w:p w14:paraId="4004B60A"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Media education cooperation between China and Azerbaijan is a necessity of the times. In 2016, the Chinese Ministry of Education stated in its "Action Plan for Promoting Joint Construction of the Belt and Road Initiative in Education" that countries along the route need to work together to build a Belt and Road education community.</w:t>
      </w:r>
    </w:p>
    <w:p w14:paraId="0FC87839"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In the Education Action for Jointly Building the Belt and Road issued by the Ministry of Education of the People’s Republic of China in 2016, the document states: “Education is the foundation, and humanity comes first. We will strengthen cooperative education, improve the quality of the regional population, and provide talent support for the joint construction of the ‘Belt and Road’” (Ministry of Education of the People’s Republic of China, 2016). This policy document indicates that educational cooperation </w:t>
      </w:r>
      <w:r>
        <w:rPr>
          <w:rFonts w:ascii="Candara" w:eastAsia="SimSun" w:hAnsi="Candara" w:cs="Arial"/>
          <w:sz w:val="24"/>
          <w:szCs w:val="24"/>
        </w:rPr>
        <w:t>was incorporated into the broader framework of jointly building the Belt and Road and was regarded as an important component of talent development and regional exchange. In the context of China and Azerbaijan relations, educational cooperation also provides a basis for people-to-people exchange and knowledge sharing. Located at the intersection of Europe and Asia, Azerbaijan is a participant in cooperation related to the Belt and Road. As Azerbaijan’s economic diversification strategy progresses, increasing</w:t>
      </w:r>
      <w:r>
        <w:rPr>
          <w:rFonts w:ascii="Candara" w:eastAsia="SimSun" w:hAnsi="Candara" w:cs="Arial"/>
          <w:sz w:val="24"/>
          <w:szCs w:val="24"/>
        </w:rPr>
        <w:t xml:space="preserve"> importance has been attached to its media industry, creating new opportunities for media education cooperation between the two countries.</w:t>
      </w:r>
    </w:p>
    <w:p w14:paraId="18B8ED57"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The Republic of Azerbaijan has taken several measures within the framework of the 2030 Agenda for Sustainable Development to support national development. In cooperation with the United Nations Development Programme, Azerbaijan has focused on strengthening education and human capital in line with labour market needs and national development priorities (Huseynova &amp; Gurbanova, 2018). Azerbaijan has clearly stated the need to strengthen cooperation with international partners to improve media education. Media </w:t>
      </w:r>
      <w:r>
        <w:rPr>
          <w:rFonts w:ascii="Candara" w:eastAsia="SimSun" w:hAnsi="Candara" w:cs="Arial"/>
          <w:sz w:val="24"/>
          <w:szCs w:val="24"/>
        </w:rPr>
        <w:t>education cooperation between China and Azerbaijan can provide new scenarios for internationalization practices in universities in both countries.</w:t>
      </w:r>
    </w:p>
    <w:p w14:paraId="0975D2CA" w14:textId="77777777" w:rsidR="005F1E75" w:rsidRDefault="005F1E75">
      <w:pPr>
        <w:spacing w:after="0" w:line="240" w:lineRule="auto"/>
        <w:jc w:val="both"/>
        <w:rPr>
          <w:rFonts w:ascii="Candara" w:eastAsia="SimSun" w:hAnsi="Candara" w:cs="Arial"/>
          <w:sz w:val="24"/>
          <w:szCs w:val="24"/>
        </w:rPr>
      </w:pPr>
    </w:p>
    <w:p w14:paraId="00C20C5B" w14:textId="77777777" w:rsidR="00560D0E" w:rsidRDefault="00560D0E">
      <w:pPr>
        <w:spacing w:after="0" w:line="240" w:lineRule="auto"/>
        <w:jc w:val="both"/>
        <w:rPr>
          <w:rFonts w:ascii="Candara" w:eastAsia="SimSun" w:hAnsi="Candara" w:cs="Arial"/>
          <w:sz w:val="24"/>
          <w:szCs w:val="24"/>
        </w:rPr>
      </w:pPr>
    </w:p>
    <w:p w14:paraId="08243AFF"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lastRenderedPageBreak/>
        <w:t>China and Azerbaijan Media Education Cooperation: Main Forms and Developments</w:t>
      </w:r>
    </w:p>
    <w:p w14:paraId="70F7F12C"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analysis examines the main forms and developments of media education cooperation between China and Azerbaijan. It focuses on several areas, including language and cultural education, teacher and student exchanges, university cooperation, and media and digital related educational activities. These forms of cooperation reflect the development of educational exchanges between the two countries and provide a basis for examining the current state of media education cooperation.</w:t>
      </w:r>
    </w:p>
    <w:p w14:paraId="72EC0916"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In 2012, China and Azerbaijan signed an educational cooperation agreement for the period from 2012 to 2015. The agreement focused mainly on expanding student exchanges and strengthening cooperation between universities in the two countries (Li, 2012). As educational exchanges developed, language and cultural education gradually became an important part of bilateral cooperation. In 2017, the Confucius Institute at Baku State University participated in activities marking the 25th anniversary of the establishm</w:t>
      </w:r>
      <w:r>
        <w:rPr>
          <w:rFonts w:ascii="Candara" w:eastAsia="SimSun" w:hAnsi="Candara" w:cs="Arial"/>
          <w:sz w:val="24"/>
          <w:szCs w:val="24"/>
        </w:rPr>
        <w:t>ent of diplomatic relations between China and Azerbaijan. Since its establishment, the institute has mainly provided Chinese language education and promoted Chinese culture, while also participating in educational and cultural exchanges between the two countries (Sun, 2017). A 2019 report noted that, after its establishment in 2016, the Confucius Institute at Azerbaijan University of Languages had set up several Chinese-language teaching sites in Azerbaijan and provided Chinese language training and undergr</w:t>
      </w:r>
      <w:r>
        <w:rPr>
          <w:rFonts w:ascii="Candara" w:eastAsia="SimSun" w:hAnsi="Candara" w:cs="Arial"/>
          <w:sz w:val="24"/>
          <w:szCs w:val="24"/>
        </w:rPr>
        <w:t>aduate education (Li, 2019). These activities brought more participants into bilateral educational exchanges and created additional opportunities for communication between students and teachers.</w:t>
      </w:r>
    </w:p>
    <w:p w14:paraId="6425849B"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By 2022, China and Azerbaijan educational cooperation covered student exchanges, academic exchanges between universities, Chinese government education programs, company organized internships, and Chinese language teaching in Azerbaijani universities and secondary schools. The report also noted that Azerbaijan sends students to China each year under bilateral governmental arrangements and that Confucius Institutes provide Chinese-language education (Azerbaijan State News Agency, 2022). Taken together, these </w:t>
      </w:r>
      <w:r>
        <w:rPr>
          <w:rFonts w:ascii="Candara" w:eastAsia="SimSun" w:hAnsi="Candara" w:cs="Arial"/>
          <w:sz w:val="24"/>
          <w:szCs w:val="24"/>
        </w:rPr>
        <w:t>materials show that educational exchanges between the two countries have involved students, universities, language education, and practical activities, while also creating established channels for further cooperation.</w:t>
      </w:r>
    </w:p>
    <w:p w14:paraId="0E5D12A4"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In 2024, China and Azerbaijan bilateral relations entered a new stage of development. On July 3, 2024, the two countries elevated their bilateral relations to a strategic partnership (Zhao &amp; Lu, 2024). On April 23, 2025, the two sides further elevated their bilateral relations to a comprehensive strategic partnership, marking a further upgrade from a strategic partnership to a comprehensive strategic partnership (Xinhua News Agency, 2025a). This development provided a new context for subsequent cooperation </w:t>
      </w:r>
      <w:r>
        <w:rPr>
          <w:rFonts w:ascii="Candara" w:eastAsia="SimSun" w:hAnsi="Candara" w:cs="Arial"/>
          <w:sz w:val="24"/>
          <w:szCs w:val="24"/>
        </w:rPr>
        <w:t>between the two countries in areas including education, culture, youth, and media.</w:t>
      </w:r>
    </w:p>
    <w:p w14:paraId="23A0D95F"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In 2024, China and Azerbaijan further emphasized exchanges in education, culture, and youth-related fields. During Xi Jinping’s meeting with Azerbaijani President Ilham Aliyev in July 2024, the two sides issued a joint statement on establishing a strategic partnership and called for greater exchanges in education, culture, tourism, youth, and local affairs (Zhao &amp; Lu, 2024). This statement indicates that educational exchange remained an important area of bilateral cooperation.</w:t>
      </w:r>
    </w:p>
    <w:p w14:paraId="6CBFE966"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In November 2024, a delegation of Azerbaijani educators visited China. According to the report, Azerbaijan University of Languages and its Chinese partner university jointly established the Confucius Institute in 2016, which subsequently established teaching sites at institutions including Baku State Conservatory, the State Academy of Fine Arts, and Azerbaijan University of Architecture. A 2019 report stated that the institute had eight Chinese language teaching sites at that time (Li, 2019), while a 2024 r</w:t>
      </w:r>
      <w:r>
        <w:rPr>
          <w:rFonts w:ascii="Candara" w:eastAsia="SimSun" w:hAnsi="Candara" w:cs="Arial"/>
          <w:sz w:val="24"/>
          <w:szCs w:val="24"/>
        </w:rPr>
        <w:t xml:space="preserve">eport stated that the number was ten (Azerbaijan State News Agency, 2024). This reflects the size of the teaching network at different points in time. As </w:t>
      </w:r>
      <w:r>
        <w:rPr>
          <w:rFonts w:ascii="Candara" w:eastAsia="SimSun" w:hAnsi="Candara" w:cs="Arial"/>
          <w:sz w:val="24"/>
          <w:szCs w:val="24"/>
        </w:rPr>
        <w:lastRenderedPageBreak/>
        <w:t>educational exchanges continued, cooperation gradually involved more educational institutions and forms of teaching.</w:t>
      </w:r>
    </w:p>
    <w:p w14:paraId="1969F0BB"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In April 2025, China and Azerbaijan issued a joint statement on establishing a comprehensive strategic partnership. The statement called for continued student exchanges, support for the development of Confucius Institutes in Azerbaijan, Chinese and Azerbaijani language teaching in schools, and partnerships among educational institutions at different levels. The two sides agreed to continue sending students to study in each other’s countries through various channels. It also called for stronger cooperation i</w:t>
      </w:r>
      <w:r>
        <w:rPr>
          <w:rFonts w:ascii="Candara" w:eastAsia="SimSun" w:hAnsi="Candara" w:cs="Arial"/>
          <w:sz w:val="24"/>
          <w:szCs w:val="24"/>
        </w:rPr>
        <w:t>n areas including film and television and supported the expansion of media cooperation through mutual visits, information exchange, and the sharing of experience (Xinhua News Agency, 2025a). Against this background, China and Azerbaijan cooperation began to extend further into the media field, creating new space for exchanges and educational cooperation in related areas.</w:t>
      </w:r>
    </w:p>
    <w:p w14:paraId="10450762"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In May 2025, Baku State University hosted the final of the 24th “Chinese Bridge” Chinese Proficiency Competition for Foreign College Students in Azerbaijan. The report noted that the two Confucius Institutes in Azerbaijan had established “Confucius Classrooms” in some schools. It also reported that the Confucius Institute at Azerbaijan University of Languages had jointly offered online Chinese courses with Azerbaijan State University of Economics (Xinhua News Agency, 2025b). These activities show that langu</w:t>
      </w:r>
      <w:r>
        <w:rPr>
          <w:rFonts w:ascii="Candara" w:eastAsia="SimSun" w:hAnsi="Candara" w:cs="Arial"/>
          <w:sz w:val="24"/>
          <w:szCs w:val="24"/>
        </w:rPr>
        <w:t>age education cooperation has also extended to school-based teaching and online courses.</w:t>
      </w:r>
    </w:p>
    <w:p w14:paraId="4338FF16" w14:textId="77777777" w:rsidR="005F1E75" w:rsidRDefault="005F1E75">
      <w:pPr>
        <w:spacing w:after="0" w:line="240" w:lineRule="auto"/>
        <w:jc w:val="both"/>
        <w:rPr>
          <w:rFonts w:ascii="Candara" w:eastAsia="SimSun" w:hAnsi="Candara" w:cs="Arial"/>
          <w:sz w:val="24"/>
          <w:szCs w:val="24"/>
        </w:rPr>
      </w:pPr>
    </w:p>
    <w:p w14:paraId="4FB570C1" w14:textId="77777777" w:rsidR="00560D0E" w:rsidRDefault="00560D0E" w:rsidP="00560D0E">
      <w:pPr>
        <w:spacing w:after="0" w:line="240" w:lineRule="auto"/>
        <w:jc w:val="both"/>
        <w:rPr>
          <w:rFonts w:ascii="Candara" w:eastAsia="SimSun" w:hAnsi="Candara" w:cs="Arial"/>
          <w:sz w:val="24"/>
          <w:szCs w:val="24"/>
        </w:rPr>
      </w:pPr>
      <w:r>
        <w:rPr>
          <w:rFonts w:ascii="Candara" w:eastAsia="SimSun" w:hAnsi="Candara" w:cs="Arial"/>
          <w:b/>
          <w:bCs/>
          <w:sz w:val="24"/>
          <w:szCs w:val="24"/>
        </w:rPr>
        <w:t>RESEARCH METHOD AND OBJECTIVES</w:t>
      </w:r>
    </w:p>
    <w:p w14:paraId="7EB373DA" w14:textId="77777777" w:rsidR="00560D0E" w:rsidRDefault="00560D0E" w:rsidP="00560D0E">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This study adopts a qualitative document analysis method to examine publicly available materials related to educational cooperation and media education cooperation between China and Azerbaijan from 2012 to 2025. The starting year, 2012, corresponds to the signing of the intergovernmental educational cooperation agreement between China and Azerbaijan, which formalized bilateral educational exchanges. The research materials include policy documents issued by government and educational authorities, bilateral cooperation documents, materials published by universities and educational institutions, and relevant news reports. These materials were organized and thematically analyzed to identify the main forms and challenges of media education cooperation between China and Azerbaijan.</w:t>
      </w:r>
    </w:p>
    <w:p w14:paraId="457066EF" w14:textId="77777777" w:rsidR="00560D0E" w:rsidRDefault="00560D0E" w:rsidP="00560D0E">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analysis focuses on several themes, including educational exchange, student and faculty exchange, inter-university cooperation, curriculum and teaching practice, digital media, and media literacy education. By examining different types of publicly available materials, the study seeks to identify the relationship between existing educational exchanges and media education cooperation and to consider the new requirements created by the development of digital media for cooperation between the two countries.</w:t>
      </w:r>
    </w:p>
    <w:p w14:paraId="0429B8AB" w14:textId="77777777" w:rsidR="00560D0E" w:rsidRDefault="00560D0E" w:rsidP="00560D0E">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main objective of this study is to analyze the practical foundations, major forms, and key problems of media education cooperation between China and Azerbaijan. On this basis, the study further considers possible directions for cooperation in curriculum development, practical teaching, faculty and student exchange, and educational resource sharing in the digital media environment. Rather than providing a comprehensive evaluation of the media education systems of the two countries, the study focuses on how existing educational exchanges can provide a basis for the further development of media education cooperation.</w:t>
      </w:r>
    </w:p>
    <w:p w14:paraId="6E65BAA0" w14:textId="77777777" w:rsidR="00560D0E" w:rsidRDefault="00560D0E">
      <w:pPr>
        <w:spacing w:after="0" w:line="240" w:lineRule="auto"/>
        <w:jc w:val="both"/>
        <w:rPr>
          <w:rFonts w:ascii="Candara" w:eastAsia="SimSun" w:hAnsi="Candara" w:cs="Arial"/>
          <w:sz w:val="24"/>
          <w:szCs w:val="24"/>
        </w:rPr>
      </w:pPr>
    </w:p>
    <w:p w14:paraId="7C9EC994"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RESULTS AND DISCUSSION</w:t>
      </w:r>
    </w:p>
    <w:p w14:paraId="3770A005"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Main Findings of China and Azerbaijan Media Education Cooperation</w:t>
      </w:r>
    </w:p>
    <w:p w14:paraId="76B7B1DC"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The analysis of the available materials indicates that media education cooperation between China and Azerbaijan has developed on the basis of broader educational, cultural, and people-to-people exchanges between the two countries. Such cooperation strengthens the </w:t>
      </w:r>
      <w:r>
        <w:rPr>
          <w:rFonts w:ascii="Candara" w:eastAsia="SimSun" w:hAnsi="Candara" w:cs="Arial"/>
          <w:sz w:val="24"/>
          <w:szCs w:val="24"/>
        </w:rPr>
        <w:lastRenderedPageBreak/>
        <w:t>foundation of people-to-people exchanges between the two countries. Teachers and students from China and Azerbaijan can enhance their understanding of each other’s cultural connotations, historical origins, and contemporary development through educational exchanges. This deeper understanding can help reduce misunderstandings and prejudices and create a favorable cultural and humanistic environment for the continued advancement of the Belt and Road Initiative.</w:t>
      </w:r>
    </w:p>
    <w:p w14:paraId="002F4128"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Differences between the two sides in media environments and cultural cognition can also be gradually narrowed through educational exchanges. Such information asymmetry is mainly reflected in a lack of sufficient understanding of each other’s culture, legal systems, and historical backgrounds. Reducing these information barriers can help enhance mutual trust between the two countries and provide a more transparent and reliable information basis for relevant cooperation projects under the Belt and Road Initia</w:t>
      </w:r>
      <w:r>
        <w:rPr>
          <w:rFonts w:ascii="Candara" w:eastAsia="SimSun" w:hAnsi="Candara" w:cs="Arial"/>
          <w:sz w:val="24"/>
          <w:szCs w:val="24"/>
        </w:rPr>
        <w:t>tive. Long-term cooperation can also contribute to the formation of more stable mechanisms for communication and exchange, providing a foundation for further educational, academic, and cultural cooperation.</w:t>
      </w:r>
    </w:p>
    <w:p w14:paraId="2FE3554D"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Against the backdrop of globalization and the development of digital communication, media education has played an increasingly important role in journalism and communication talent cultivation as well as media literacy enhancement, and has become an important component of international educational cooperation. In recent years, China has strengthened its capacity building in international communication and promoted the training of talents in journalism, communication, and new media. Media education cooperati</w:t>
      </w:r>
      <w:r>
        <w:rPr>
          <w:rFonts w:ascii="Candara" w:eastAsia="SimSun" w:hAnsi="Candara" w:cs="Arial"/>
          <w:sz w:val="24"/>
          <w:szCs w:val="24"/>
        </w:rPr>
        <w:t>on between China and Azerbaijan has developed within this context, fostering educational exchange and mutual learning between the two sides. Azerbaijan, located at the crossroads of Europe and Asia, is an important node country connecting China with the Caucasus region and Europe. Through cooperation in media education, universities in both countries can engage in exchanges in curriculum development, teaching practice, and talent cultivation, thereby gaining a better understanding of each other’s media educ</w:t>
      </w:r>
      <w:r>
        <w:rPr>
          <w:rFonts w:ascii="Candara" w:eastAsia="SimSun" w:hAnsi="Candara" w:cs="Arial"/>
          <w:sz w:val="24"/>
          <w:szCs w:val="24"/>
        </w:rPr>
        <w:t>ation systems. Azerbaijan can also leverage such cooperation to further develop its digital media and communication education.</w:t>
      </w:r>
    </w:p>
    <w:p w14:paraId="3F4C4689"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analysis further indicates that the development of digital communication technologies is creating new possibilities for media education cooperation. The application of digital media and new media tools has made teaching more closely aligned with real world communication environments. The two sides can cooperate in areas such as digital news production and new media practice, thereby enhancing students’ practical media skills. However, the available materials indicate that such forms of direct media educ</w:t>
      </w:r>
      <w:r>
        <w:rPr>
          <w:rFonts w:ascii="Candara" w:eastAsia="SimSun" w:hAnsi="Candara" w:cs="Arial"/>
          <w:sz w:val="24"/>
          <w:szCs w:val="24"/>
        </w:rPr>
        <w:t>ation cooperation remain relatively limited compared with broader language, cultural, and educational exchanges. Overall, the findings show that existing cooperation has provided a foundation for the development of media education in both countries and for the improvement of their talent training systems, while more specialized forms of media education cooperation are still developing.</w:t>
      </w:r>
    </w:p>
    <w:p w14:paraId="6C3ADCA5" w14:textId="77777777" w:rsidR="005F1E75" w:rsidRDefault="005F1E75">
      <w:pPr>
        <w:spacing w:after="0" w:line="240" w:lineRule="auto"/>
        <w:jc w:val="both"/>
        <w:rPr>
          <w:rFonts w:ascii="Candara" w:eastAsia="SimSun" w:hAnsi="Candara" w:cs="Arial"/>
          <w:sz w:val="24"/>
          <w:szCs w:val="24"/>
        </w:rPr>
      </w:pPr>
    </w:p>
    <w:p w14:paraId="292F8ED8"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Discussion and Implications for Future Cooperation</w:t>
      </w:r>
    </w:p>
    <w:p w14:paraId="2087B356"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On the basis of existing cooperation, both sides can further deepen exchanges in media education. Universities from China and Azerbaijan may explore the joint development of a curriculum framework applicable to both sides. This framework may include modules such as the Belt and Road Initiative, modern media technologies, theories of cultural communication, journalism production practice, and understanding of regional cultural differences. Such joint curriculum design can help ensure a higher degree of align</w:t>
      </w:r>
      <w:r>
        <w:rPr>
          <w:rFonts w:ascii="Candara" w:eastAsia="SimSun" w:hAnsi="Candara" w:cs="Arial"/>
          <w:sz w:val="24"/>
          <w:szCs w:val="24"/>
        </w:rPr>
        <w:t xml:space="preserve">ment between teaching content and the practical needs of both sides, thereby promoting more in-depth cooperation. In this process, transnational collaborative teaching can provide opportunities for cross-border media and communication education by promoting collaboration among educators, symmetrical </w:t>
      </w:r>
      <w:r>
        <w:rPr>
          <w:rFonts w:ascii="Candara" w:eastAsia="SimSun" w:hAnsi="Candara" w:cs="Arial"/>
          <w:sz w:val="24"/>
          <w:szCs w:val="24"/>
        </w:rPr>
        <w:lastRenderedPageBreak/>
        <w:t>relationships, and intercultural understanding (Cooper et al., 2025). In addition, differences between China and Azerbaijan in media laws and regulatory frameworks should be taken into account when developing jo</w:t>
      </w:r>
      <w:r>
        <w:rPr>
          <w:rFonts w:ascii="Candara" w:eastAsia="SimSun" w:hAnsi="Candara" w:cs="Arial"/>
          <w:sz w:val="24"/>
          <w:szCs w:val="24"/>
        </w:rPr>
        <w:t>int teaching programs. Relevant professionals from both sides may conduct regulatory assessments in advance and develop appropriate risk mitigation and compliance measures.</w:t>
      </w:r>
    </w:p>
    <w:p w14:paraId="10F7ACEE"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Relying on modern information technologies, a blended approach combining online and offline teaching, as well as thematic seminars, can be adopted to convey course content in a more intuitive manner. Both sides may also strengthen academic exchange and teaching interaction through workshops, online courses, and other formats, thereby enhancing communication among scholars, practitioners, and students. This would provide teachers and students with authoritative and practice-oriented guidance, and offer new i</w:t>
      </w:r>
      <w:r>
        <w:rPr>
          <w:rFonts w:ascii="Candara" w:eastAsia="SimSun" w:hAnsi="Candara" w:cs="Arial"/>
          <w:sz w:val="24"/>
          <w:szCs w:val="24"/>
        </w:rPr>
        <w:t>deas for the joint development of media education concepts and technologies between China and Azerbaijan.</w:t>
      </w:r>
    </w:p>
    <w:p w14:paraId="08B1F344"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Leveraging the Belt and Road educational cooperation platform, universities from China and Azerbaijan can further explore the feasibility of developing practical platforms for media education. Such platforms could be designed according to the infrastructure, academic staff, and research resources of participating universities and may include virtual studios, digital journalism laboratories, and new media practice facilities, providing students with opportunities for practical training in media production, e</w:t>
      </w:r>
      <w:r>
        <w:rPr>
          <w:rFonts w:ascii="Candara" w:eastAsia="SimSun" w:hAnsi="Candara" w:cs="Arial"/>
          <w:sz w:val="24"/>
          <w:szCs w:val="24"/>
        </w:rPr>
        <w:t>diting, and dissemination. The specific model of platform development, participating universities, and allocation of resources would require further assessment based on the actual conditions of the universities involved, cooperation needs, and relevant institutional environments.</w:t>
      </w:r>
    </w:p>
    <w:p w14:paraId="2DCE3226"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“Leveraging the infrastructure, academic staff, and research capacities of established institutions like Baku State University, Azerbaijan State Pedagogical University, ADA University, and Khazar University can strengthen the pedagogical process. Additionally, collaboration with academics, journalists, media editors, and international experts will further enhance these efforts” (Niftaliyeva &amp; Najafli, 2024, p. 36). These existing resources may provide a basis for further exploring practical cooperation in m</w:t>
      </w:r>
      <w:r>
        <w:rPr>
          <w:rFonts w:ascii="Candara" w:eastAsia="SimSun" w:hAnsi="Candara" w:cs="Arial"/>
          <w:sz w:val="24"/>
          <w:szCs w:val="24"/>
        </w:rPr>
        <w:t>edia education.</w:t>
      </w:r>
    </w:p>
    <w:p w14:paraId="5A66A95B"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Both sides can implement faculty and student exchange programs. China may provide scholarship and study opportunities for Azerbaijani teachers and students to study in China, while Chinese teachers and students can also go to Azerbaijan for exchange programs. Such two-way exchanges would enable participants to gain a deeper understanding of each other’s culture, history, and media ecosystems, thereby supporting joint teaching initiatives.</w:t>
      </w:r>
    </w:p>
    <w:p w14:paraId="2F7BE1D3"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Media education has a strong practical orientation, and classroom teaching alone may not be sufficient to meet the demands of the modern media environment. At the same time, scientific research practice can contribute to the development of interdisciplinary innovation capabilities, while inadequate cross-border integration of resources and limited localized research support may constrain the effectiveness of collaborative innovation (Aida, 2019). Therefore, China and Azerbaijan can further strengthen the de</w:t>
      </w:r>
      <w:r>
        <w:rPr>
          <w:rFonts w:ascii="Candara" w:eastAsia="SimSun" w:hAnsi="Candara" w:cs="Arial"/>
          <w:sz w:val="24"/>
          <w:szCs w:val="24"/>
        </w:rPr>
        <w:t xml:space="preserve">velopment of practical teaching platforms and promote joint practical cooperation between universities, such as the co-construction of media laboratories and practice-based teaching spaces. Where conditions permit, digital journalism laboratories, new media practice platforms, and related teaching facilities can be established based on existing university resources, providing students with an environment for hands-on training. Chinese universities have accumulated experience in digital media and convergent </w:t>
      </w:r>
      <w:r>
        <w:rPr>
          <w:rFonts w:ascii="Candara" w:eastAsia="SimSun" w:hAnsi="Candara" w:cs="Arial"/>
          <w:sz w:val="24"/>
          <w:szCs w:val="24"/>
        </w:rPr>
        <w:t>media education, while Azerbaijani universities benefit from their geographical position in cross-regional cultural communication. Through cooperation, both sides can further enhance the effectiveness of practical teaching. In terms of curriculum development, however, several foundational challenges remain, such as insufficient language resources and the lack of standardized professional terminology, particularly in journalism and new media studies. Therefore, building on existing cooperation, the two sides</w:t>
      </w:r>
      <w:r>
        <w:rPr>
          <w:rFonts w:ascii="Candara" w:eastAsia="SimSun" w:hAnsi="Candara" w:cs="Arial"/>
          <w:sz w:val="24"/>
          <w:szCs w:val="24"/>
        </w:rPr>
        <w:t xml:space="preserve"> may further promote the </w:t>
      </w:r>
      <w:r>
        <w:rPr>
          <w:rFonts w:ascii="Candara" w:eastAsia="SimSun" w:hAnsi="Candara" w:cs="Arial"/>
          <w:sz w:val="24"/>
          <w:szCs w:val="24"/>
        </w:rPr>
        <w:lastRenderedPageBreak/>
        <w:t>development of bilingual or multilingual teaching materials and integrate real media cases into instructional practice. Course content may cover areas such as news reporting and writing, new media operations, and intercultural communication, thereby strengthening students’ understanding of diverse media environments.</w:t>
      </w:r>
    </w:p>
    <w:p w14:paraId="3E93265B"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In addition, long-term exchange mechanisms are of significant importance for cooperation in media education. Compared with short-term visits, sustained exchange programs are more conducive to in-depth teaching and research cooperation. Universities from both sides may provide cross-cultural learning opportunities for teachers and students through student exchange programs, joint training schemes, and short-term study visits. By studying and practicing in different media environments, students can gain a mor</w:t>
      </w:r>
      <w:r>
        <w:rPr>
          <w:rFonts w:ascii="Candara" w:eastAsia="SimSun" w:hAnsi="Candara" w:cs="Arial"/>
          <w:sz w:val="24"/>
          <w:szCs w:val="24"/>
        </w:rPr>
        <w:t>e direct understanding of media operations and audience differences, thereby enhancing their practical skills and intercultural competence.</w:t>
      </w:r>
    </w:p>
    <w:p w14:paraId="2E334E92"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findings also highlight several challenges that may affect the further development of media education cooperation between China and Azerbaijan. Although both sides possess a range of university and teaching resources, differences remain in modern media teaching equipment and the development of practical training bases. The two countries can further strengthen the construction of practical platforms and the sharing of technological resources, thereby promoting technological cooperation. In addition, effo</w:t>
      </w:r>
      <w:r>
        <w:rPr>
          <w:rFonts w:ascii="Candara" w:eastAsia="SimSun" w:hAnsi="Candara" w:cs="Arial"/>
          <w:sz w:val="24"/>
          <w:szCs w:val="24"/>
        </w:rPr>
        <w:t>rts can be made to expand the cultivation of language professionals and explore the application of artificial intelligence-assisted translation tools in cross-linguistic teaching and communication, so as to improve cross-language communication and enhance the efficiency of media dissemination and teaching.</w:t>
      </w:r>
    </w:p>
    <w:p w14:paraId="015A04E5"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On this basis, attention should also be given to the coordination between curriculum systems and practical teaching. With the continuous evolution of media forms, traditional classroom instruction still shows certain limitations in terms of content updating and practical adaptability. Therefore, jointly developed courses could place greater emphasis on practice-oriented approaches and case-sharing mechanisms in their design, so as to enhance the relevance of teaching content to real-world media environments</w:t>
      </w:r>
      <w:r>
        <w:rPr>
          <w:rFonts w:ascii="Candara" w:eastAsia="SimSun" w:hAnsi="Candara" w:cs="Arial"/>
          <w:sz w:val="24"/>
          <w:szCs w:val="24"/>
        </w:rPr>
        <w:t>. At the same time, in the process of advancing cooperation, further efforts could be made to explore course credit recognition and resource complementarity between universities, enabling educational collaboration to gradually move from relatively isolated project-based cooperation toward more systematic and integrated development.</w:t>
      </w:r>
    </w:p>
    <w:p w14:paraId="757A6E19"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Language barriers continue to pose a challenge to media education cooperation between China and Azerbaijan. Higher‑education cooperation under the Belt and Road Initiative demonstrates prominent regional imbalance; collaborative mechanisms and exchanges remain limited for many non‑ASEAN partner regions (Yue et al., 2022). Differences between Chinese and Azerbaijani, together with the use of Russian and English in academic communication, create a need for multilingual support in curriculum development, teach</w:t>
      </w:r>
      <w:r>
        <w:rPr>
          <w:rFonts w:ascii="Candara" w:eastAsia="SimSun" w:hAnsi="Candara" w:cs="Arial"/>
          <w:sz w:val="24"/>
          <w:szCs w:val="24"/>
        </w:rPr>
        <w:t>ing materials preparation, and educational exchanges. In addition, cultural differences may also create certain difficulties in mutual understanding and communication between the two sides. Previous research has suggested that language skills may be an important factor affecting the digital divide in the Caucasus region (Pearce &amp; Rice, 2014). However, this study focuses on the digital divide rather than media education cooperation between China and Azerbaijan. Its relevance to the present study therefore ma</w:t>
      </w:r>
      <w:r>
        <w:rPr>
          <w:rFonts w:ascii="Candara" w:eastAsia="SimSun" w:hAnsi="Candara" w:cs="Arial"/>
          <w:sz w:val="24"/>
          <w:szCs w:val="24"/>
        </w:rPr>
        <w:t>inly lies in highlighting the importance of language factors in digital communication and educational environments. Addressing these issues requires professional bilingual teachers and translation resources, while cultural translation and exchange can also be encouraged to promote mutual understanding, seek common ground while respecting differences, and draw innovative inspiration from diversity.</w:t>
      </w:r>
    </w:p>
    <w:p w14:paraId="74DEBC07"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China and Azerbaijan cooperation in media education requires appropriate policy support and institutional arrangements. This includes joint project approval, funding support, and </w:t>
      </w:r>
      <w:r>
        <w:rPr>
          <w:rFonts w:ascii="Candara" w:eastAsia="SimSun" w:hAnsi="Candara" w:cs="Arial"/>
          <w:sz w:val="24"/>
          <w:szCs w:val="24"/>
        </w:rPr>
        <w:lastRenderedPageBreak/>
        <w:t>facilitation of teacher and student mobility, all of which require coordination between relevant institutions on both sides. Educational cooperation requires financial support, and stable funding sources can help ensure the continued implementation of cooperative projects. Therefore, future research could further examine different sources of financial support, including government-supported educational cooperation programs, relevant programs of international organizations, and joint projects between univers</w:t>
      </w:r>
      <w:r>
        <w:rPr>
          <w:rFonts w:ascii="Candara" w:eastAsia="SimSun" w:hAnsi="Candara" w:cs="Arial"/>
          <w:sz w:val="24"/>
          <w:szCs w:val="24"/>
        </w:rPr>
        <w:t>ities, and assess their applicability to media education cooperation. On this basis, diversified funding models could also be explored. However, the specific sources of funding, participating institutions, and forms of cooperation would require further research based on project needs, institutional capacities, and relevant regulatory requirements.</w:t>
      </w:r>
    </w:p>
    <w:p w14:paraId="1FE0432B" w14:textId="77777777" w:rsidR="005F1E75" w:rsidRDefault="005F1E75">
      <w:pPr>
        <w:spacing w:after="0" w:line="240" w:lineRule="auto"/>
        <w:jc w:val="both"/>
        <w:rPr>
          <w:rFonts w:ascii="Candara" w:eastAsia="SimSun" w:hAnsi="Candara" w:cs="Arial"/>
          <w:sz w:val="24"/>
          <w:szCs w:val="24"/>
        </w:rPr>
      </w:pPr>
    </w:p>
    <w:p w14:paraId="797D8E60"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CONCLUSION</w:t>
      </w:r>
    </w:p>
    <w:p w14:paraId="60CBFD32"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This study examines the foundations, main forms, and current challenges of media education cooperation between China and Azerbaijan in the context of the Belt and Road Initiative, and addresses the three research questions proposed in the study.</w:t>
      </w:r>
    </w:p>
    <w:p w14:paraId="0CBD5EFA"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 xml:space="preserve">Regarding the first research question, the findings indicate that the foundations of China-Azerbaijan media education cooperation mainly derive from existing educational cooperation mechanisms, university cooperation, language and cultural exchanges, and student and faculty mobility. Within the broader framework of the Belt and Road Initiative, people-to-people exchange has been discussed in relation to education and ideas exchanges, as well as interculturalism, education, and dialogue (Peters, 2022). This </w:t>
      </w:r>
      <w:r>
        <w:rPr>
          <w:rFonts w:ascii="Candara" w:eastAsia="SimSun" w:hAnsi="Candara" w:cs="Arial"/>
          <w:sz w:val="24"/>
          <w:szCs w:val="24"/>
        </w:rPr>
        <w:t>broader framework expanded the space for educational and cultural exchanges between the two countries and created conditions for further cooperation in media education.</w:t>
      </w:r>
    </w:p>
    <w:p w14:paraId="57F1614E"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Regarding the second research question, the cooperation currently observable mainly involves Chinese language education, cultural activities, student and faculty exchanges, and university cooperation, as well as some online educational activities. Based on the available public materials, specialized cooperation directly related to journalism education, digital media practice, and media literacy remains relatively limited. The development of the digital communication environment has created new possibilities</w:t>
      </w:r>
      <w:r>
        <w:rPr>
          <w:rFonts w:ascii="Candara" w:eastAsia="SimSun" w:hAnsi="Candara" w:cs="Arial"/>
          <w:sz w:val="24"/>
          <w:szCs w:val="24"/>
        </w:rPr>
        <w:t xml:space="preserve"> for cooperation in these areas, but the available evidence is not yet sufficient to indicate that China and Azerbaijan have established an independent, stable, and systematic model of media education cooperation.</w:t>
      </w:r>
    </w:p>
    <w:p w14:paraId="622EC7EC"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Regarding the third research question, the available materials indicate several factors that may constrain further cooperation, including language differences, differences in curricula and teaching resources, limited practical teaching platforms, and differences in the conditions and resource support available for media education in the two countries. At the same time, the institutional coordination mechanisms required for long-term cooperation still have room for further development. Future cooperation cou</w:t>
      </w:r>
      <w:r>
        <w:rPr>
          <w:rFonts w:ascii="Candara" w:eastAsia="SimSun" w:hAnsi="Candara" w:cs="Arial"/>
          <w:sz w:val="24"/>
          <w:szCs w:val="24"/>
        </w:rPr>
        <w:t>ld focus on joint curriculum development, multilingual teaching resources, practical training platforms, digital media talent development, and student and faculty exchanges, while gradually exploring more stable and sustainable mechanisms for cooperation.</w:t>
      </w:r>
    </w:p>
    <w:p w14:paraId="37B899BA"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The value of this study lies in examining educational cooperation between China and Azerbaijan from the more specific perspective of media education. Existing studies have paid considerable attention to China and Azerbaijan higher education, cultural exchanges, and broader cooperation under the Belt and Road Initiative, while relatively less attention has been given to specific areas such as media education and media literacy. This study further connects bilateral educational exchanges with journalism educa</w:t>
      </w:r>
      <w:r>
        <w:rPr>
          <w:rFonts w:ascii="Candara" w:eastAsia="SimSun" w:hAnsi="Candara" w:cs="Arial"/>
          <w:sz w:val="24"/>
          <w:szCs w:val="24"/>
        </w:rPr>
        <w:t>tion, digital media, and media literacy, providing supplementary material and a specific analytical perspective for understanding media education cooperation between China and Azerbaijan in the South Caucasus context.</w:t>
      </w:r>
    </w:p>
    <w:p w14:paraId="3FEE4B1D"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lastRenderedPageBreak/>
        <w:t xml:space="preserve">This study also has several limitations. The research materials are mainly drawn from publicly available policy documents, institutional announcements, university materials, and news reports. While these materials provide information on cooperation documented in public sources, they offer limited information about the implementation of specific projects and the actual experiences of teachers and students. In addition, this study did not employ primary research methods such as interviews, questionnaires, or </w:t>
      </w:r>
      <w:r>
        <w:rPr>
          <w:rFonts w:ascii="Candara" w:eastAsia="SimSun" w:hAnsi="Candara" w:cs="Arial"/>
          <w:sz w:val="24"/>
          <w:szCs w:val="24"/>
        </w:rPr>
        <w:t>field observation. Therefore, the findings mainly reflect the forms and development of cooperation presented in publicly available materials and cannot be directly used to evaluate the actual implementation outcomes of specific cooperation projects.</w:t>
      </w:r>
    </w:p>
    <w:p w14:paraId="33C46982" w14:textId="77777777" w:rsidR="005F1E75" w:rsidRDefault="00D97319">
      <w:pPr>
        <w:spacing w:after="0" w:line="240" w:lineRule="auto"/>
        <w:ind w:firstLine="720"/>
        <w:jc w:val="both"/>
        <w:rPr>
          <w:rFonts w:ascii="Candara" w:eastAsia="SimSun" w:hAnsi="Candara" w:cs="Arial"/>
          <w:sz w:val="24"/>
          <w:szCs w:val="24"/>
        </w:rPr>
      </w:pPr>
      <w:r>
        <w:rPr>
          <w:rFonts w:ascii="Candara" w:eastAsia="SimSun" w:hAnsi="Candara" w:cs="Arial"/>
          <w:sz w:val="24"/>
          <w:szCs w:val="24"/>
        </w:rPr>
        <w:t>Future research could use in-depth interviews with teachers and students, participant surveys, comparisons of cooperation cases across different universities, and longitudinal tracking of specific cooperation projects to gain a better understanding of implementation processes, participant experiences, and practical outcomes. Further research could also examine the opportunities and challenges that developments in digital media and artificial intelligence may bring to cross-border media education cooperation</w:t>
      </w:r>
      <w:r>
        <w:rPr>
          <w:rFonts w:ascii="Candara" w:eastAsia="SimSun" w:hAnsi="Candara" w:cs="Arial"/>
          <w:sz w:val="24"/>
          <w:szCs w:val="24"/>
        </w:rPr>
        <w:t>, and explore whether existing exchange platforms could develop into more long-term and specialized networks for media education cooperation.</w:t>
      </w:r>
    </w:p>
    <w:p w14:paraId="11106F21" w14:textId="77777777" w:rsidR="005F1E75" w:rsidRDefault="005F1E75">
      <w:pPr>
        <w:spacing w:after="0" w:line="240" w:lineRule="auto"/>
        <w:jc w:val="both"/>
        <w:rPr>
          <w:rFonts w:ascii="Candara" w:eastAsia="SimSun" w:hAnsi="Candara" w:cs="Arial"/>
          <w:sz w:val="24"/>
          <w:szCs w:val="24"/>
        </w:rPr>
      </w:pPr>
    </w:p>
    <w:p w14:paraId="3E8402BB" w14:textId="77777777" w:rsidR="005F1E75" w:rsidRDefault="00D97319">
      <w:pPr>
        <w:spacing w:after="0" w:line="240" w:lineRule="auto"/>
        <w:jc w:val="both"/>
        <w:rPr>
          <w:rFonts w:ascii="Candara" w:eastAsia="SimSun" w:hAnsi="Candara" w:cs="Arial"/>
          <w:sz w:val="24"/>
          <w:szCs w:val="24"/>
        </w:rPr>
      </w:pPr>
      <w:r>
        <w:rPr>
          <w:rFonts w:ascii="Candara" w:eastAsia="SimSun" w:hAnsi="Candara" w:cs="Arial"/>
          <w:b/>
          <w:bCs/>
          <w:sz w:val="24"/>
          <w:szCs w:val="24"/>
        </w:rPr>
        <w:t>REFERENCES</w:t>
      </w:r>
    </w:p>
    <w:p w14:paraId="69698D2F"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Aida. (2019). </w:t>
      </w:r>
      <w:r>
        <w:rPr>
          <w:rFonts w:ascii="Candara" w:eastAsia="SimSun" w:hAnsi="Candara" w:cs="Arial"/>
          <w:i/>
          <w:iCs/>
          <w:sz w:val="24"/>
          <w:szCs w:val="24"/>
        </w:rPr>
        <w:t>阿塞拜疆参与中国</w:t>
      </w:r>
      <w:r>
        <w:rPr>
          <w:rFonts w:ascii="Candara" w:eastAsia="SimSun" w:hAnsi="Candara" w:cs="Arial"/>
          <w:i/>
          <w:iCs/>
          <w:sz w:val="24"/>
          <w:szCs w:val="24"/>
        </w:rPr>
        <w:t>“</w:t>
      </w:r>
      <w:r>
        <w:rPr>
          <w:rFonts w:ascii="Candara" w:eastAsia="SimSun" w:hAnsi="Candara" w:cs="Arial"/>
          <w:i/>
          <w:iCs/>
          <w:sz w:val="24"/>
          <w:szCs w:val="24"/>
        </w:rPr>
        <w:t>一带一路</w:t>
      </w:r>
      <w:r>
        <w:rPr>
          <w:rFonts w:ascii="Candara" w:eastAsia="SimSun" w:hAnsi="Candara" w:cs="Arial"/>
          <w:i/>
          <w:iCs/>
          <w:sz w:val="24"/>
          <w:szCs w:val="24"/>
        </w:rPr>
        <w:t>”</w:t>
      </w:r>
      <w:r>
        <w:rPr>
          <w:rFonts w:ascii="Candara" w:eastAsia="SimSun" w:hAnsi="Candara" w:cs="Arial"/>
          <w:i/>
          <w:iCs/>
          <w:sz w:val="24"/>
          <w:szCs w:val="24"/>
        </w:rPr>
        <w:t>倡议的影响与对策研究</w:t>
      </w:r>
      <w:r>
        <w:rPr>
          <w:rFonts w:ascii="Candara" w:eastAsia="SimSun" w:hAnsi="Candara" w:cs="Arial"/>
          <w:sz w:val="24"/>
          <w:szCs w:val="24"/>
        </w:rPr>
        <w:t xml:space="preserve"> [Research on the influence and countermeasures of Azerbaijan’s participation in China’s “One Belt and One Road” initiative] [Master’s thesis, Anhui University]. https://doi.org/10.26917/d.cnki.ganhu.2019.000126</w:t>
      </w:r>
    </w:p>
    <w:p w14:paraId="115A2855"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Azerbaijan State News Agency. (2022, May 12). </w:t>
      </w:r>
      <w:r>
        <w:rPr>
          <w:rFonts w:ascii="Candara" w:eastAsia="SimSun" w:hAnsi="Candara" w:cs="Arial"/>
          <w:sz w:val="24"/>
          <w:szCs w:val="24"/>
        </w:rPr>
        <w:t>独家：建交</w:t>
      </w:r>
      <w:r>
        <w:rPr>
          <w:rFonts w:ascii="Candara" w:eastAsia="SimSun" w:hAnsi="Candara" w:cs="Arial"/>
          <w:sz w:val="24"/>
          <w:szCs w:val="24"/>
        </w:rPr>
        <w:t>30</w:t>
      </w:r>
      <w:r>
        <w:rPr>
          <w:rFonts w:ascii="Candara" w:eastAsia="SimSun" w:hAnsi="Candara" w:cs="Arial"/>
          <w:sz w:val="24"/>
          <w:szCs w:val="24"/>
        </w:rPr>
        <w:t>年，中阿教育合作不断加强</w:t>
      </w:r>
      <w:r>
        <w:rPr>
          <w:rFonts w:ascii="Candara" w:eastAsia="SimSun" w:hAnsi="Candara" w:cs="Arial"/>
          <w:sz w:val="24"/>
          <w:szCs w:val="24"/>
        </w:rPr>
        <w:t>——</w:t>
      </w:r>
      <w:r>
        <w:rPr>
          <w:rFonts w:ascii="Candara" w:eastAsia="SimSun" w:hAnsi="Candara" w:cs="Arial"/>
          <w:sz w:val="24"/>
          <w:szCs w:val="24"/>
        </w:rPr>
        <w:t>阿塞拜疆汉学家</w:t>
      </w:r>
      <w:r>
        <w:rPr>
          <w:rFonts w:ascii="Candara" w:eastAsia="SimSun" w:hAnsi="Candara" w:cs="Arial"/>
          <w:sz w:val="24"/>
          <w:szCs w:val="24"/>
        </w:rPr>
        <w:t xml:space="preserve"> [Exclusive: 30 years of diplomatic relations, China-Azerbaijan educational cooperation continues to strengthen-Azerbaijani sinologist]. AZERTAC. https://azertag.az/chn/xeber/china-2131322</w:t>
      </w:r>
    </w:p>
    <w:p w14:paraId="4AC9F9B4"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Azerbaijan State News Agency. (2024, November 4). “</w:t>
      </w:r>
      <w:r>
        <w:rPr>
          <w:rFonts w:ascii="Candara" w:eastAsia="SimSun" w:hAnsi="Candara" w:cs="Arial"/>
          <w:sz w:val="24"/>
          <w:szCs w:val="24"/>
        </w:rPr>
        <w:t>汉语桥</w:t>
      </w:r>
      <w:r>
        <w:rPr>
          <w:rFonts w:ascii="Candara" w:eastAsia="SimSun" w:hAnsi="Candara" w:cs="Arial"/>
          <w:sz w:val="24"/>
          <w:szCs w:val="24"/>
        </w:rPr>
        <w:t>”</w:t>
      </w:r>
      <w:r>
        <w:rPr>
          <w:rFonts w:ascii="Candara" w:eastAsia="SimSun" w:hAnsi="Candara" w:cs="Arial"/>
          <w:sz w:val="24"/>
          <w:szCs w:val="24"/>
        </w:rPr>
        <w:t>阿塞拜疆教育工作者代表团赴华访问圆满结束</w:t>
      </w:r>
      <w:r>
        <w:rPr>
          <w:rFonts w:ascii="Candara" w:eastAsia="SimSun" w:hAnsi="Candara" w:cs="Arial"/>
          <w:sz w:val="24"/>
          <w:szCs w:val="24"/>
        </w:rPr>
        <w:t xml:space="preserve"> [“Chinese Bridge” Azerbaijani education workers’ delegation successfully concludes visit to China]. AZERTAC. https://azertag.az/chn/xeber/china-3260480</w:t>
      </w:r>
    </w:p>
    <w:p w14:paraId="417D4A67"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Chudak, S. (2019). Kompetencja medialna uczniów i nauczycieli języków obcych jako czynnik wpływający na poziom ich kompetencji interkulturowej. </w:t>
      </w:r>
      <w:r>
        <w:rPr>
          <w:rFonts w:ascii="Candara" w:eastAsia="SimSun" w:hAnsi="Candara" w:cs="Arial"/>
          <w:i/>
          <w:iCs/>
          <w:sz w:val="24"/>
          <w:szCs w:val="24"/>
        </w:rPr>
        <w:t>Neofilolog, 40</w:t>
      </w:r>
      <w:r>
        <w:rPr>
          <w:rFonts w:ascii="Candara" w:eastAsia="SimSun" w:hAnsi="Candara" w:cs="Arial"/>
          <w:sz w:val="24"/>
          <w:szCs w:val="24"/>
        </w:rPr>
        <w:t>(2), 251–263. https://doi.org/10.14746/n.2013.40.2.6</w:t>
      </w:r>
    </w:p>
    <w:p w14:paraId="7E9C2D5A"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Cooper, V. A., Raza Rizvi, W., &amp; Yepez-Reyes, V. (2025). Collaborative teaching as critical transnational pedagogy: Opportunities for a globalised media and communication education. </w:t>
      </w:r>
      <w:r>
        <w:rPr>
          <w:rFonts w:ascii="Candara" w:eastAsia="SimSun" w:hAnsi="Candara" w:cs="Arial"/>
          <w:i/>
          <w:iCs/>
          <w:sz w:val="24"/>
          <w:szCs w:val="24"/>
        </w:rPr>
        <w:t>Globalisation, Societies and Education</w:t>
      </w:r>
      <w:r>
        <w:rPr>
          <w:rFonts w:ascii="Candara" w:eastAsia="SimSun" w:hAnsi="Candara" w:cs="Arial"/>
          <w:sz w:val="24"/>
          <w:szCs w:val="24"/>
        </w:rPr>
        <w:t>, 1–16. https://doi.org/10.1080/14767724.2025.2575996</w:t>
      </w:r>
    </w:p>
    <w:p w14:paraId="4884D107"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Huseynova, K. M., &amp; Gurbanova, S. S. (2018). Education is set as one of the main targets for the development of the Republic of Azerbaijan. </w:t>
      </w:r>
      <w:r>
        <w:rPr>
          <w:rFonts w:ascii="Candara" w:eastAsia="SimSun" w:hAnsi="Candara" w:cs="Arial"/>
          <w:i/>
          <w:iCs/>
          <w:sz w:val="24"/>
          <w:szCs w:val="24"/>
        </w:rPr>
        <w:t>European Journal of Education and Applied Psychology</w:t>
      </w:r>
      <w:r>
        <w:rPr>
          <w:rFonts w:ascii="Candara" w:eastAsia="SimSun" w:hAnsi="Candara" w:cs="Arial"/>
          <w:sz w:val="24"/>
          <w:szCs w:val="24"/>
        </w:rPr>
        <w:t>, (2), 31-32.</w:t>
      </w:r>
    </w:p>
    <w:p w14:paraId="2A53D2C9"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Lee, A. Y. L. (2010). Media education: Definitions, approaches and development around the globe. </w:t>
      </w:r>
      <w:r>
        <w:rPr>
          <w:rFonts w:ascii="Candara" w:eastAsia="SimSun" w:hAnsi="Candara" w:cs="Arial"/>
          <w:i/>
          <w:iCs/>
          <w:sz w:val="24"/>
          <w:szCs w:val="24"/>
        </w:rPr>
        <w:t>New Horizons in Education, 58</w:t>
      </w:r>
      <w:r>
        <w:rPr>
          <w:rFonts w:ascii="Candara" w:eastAsia="SimSun" w:hAnsi="Candara" w:cs="Arial"/>
          <w:sz w:val="24"/>
          <w:szCs w:val="24"/>
        </w:rPr>
        <w:t>(3), 1–13. http://www.hkta1934.org.hk/NewHorizon/abstract/2010Dec/1.pdf</w:t>
      </w:r>
    </w:p>
    <w:p w14:paraId="6CCA294E"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Li, M. (2019, September 22). </w:t>
      </w:r>
      <w:r>
        <w:rPr>
          <w:rFonts w:ascii="Candara" w:eastAsia="SimSun" w:hAnsi="Candara" w:cs="Arial"/>
          <w:sz w:val="24"/>
          <w:szCs w:val="24"/>
        </w:rPr>
        <w:t>专访：阿中教育文化交流合作前景广阔</w:t>
      </w:r>
      <w:r>
        <w:rPr>
          <w:rFonts w:ascii="Candara" w:eastAsia="SimSun" w:hAnsi="Candara" w:cs="Arial"/>
          <w:sz w:val="24"/>
          <w:szCs w:val="24"/>
        </w:rPr>
        <w:t>——</w:t>
      </w:r>
      <w:r>
        <w:rPr>
          <w:rFonts w:ascii="Candara" w:eastAsia="SimSun" w:hAnsi="Candara" w:cs="Arial"/>
          <w:sz w:val="24"/>
          <w:szCs w:val="24"/>
        </w:rPr>
        <w:t>访阿塞拜疆语言大学孔子学院院长阿巴索夫</w:t>
      </w:r>
      <w:r>
        <w:rPr>
          <w:rFonts w:ascii="Candara" w:eastAsia="SimSun" w:hAnsi="Candara" w:cs="Arial"/>
          <w:sz w:val="24"/>
          <w:szCs w:val="24"/>
        </w:rPr>
        <w:t xml:space="preserve"> [Interview: China-Azerbaijan educational and cultural exchanges and cooperation have broad prospects-Interview with Abbasov, director of the Confucius Institute at Azerbaijan University of Languages]. Xinhua News Agency. https://www.xinhuanet.com/world/2019-09/22/c_1125024695.htm</w:t>
      </w:r>
    </w:p>
    <w:p w14:paraId="229F8FB2"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lastRenderedPageBreak/>
        <w:t xml:space="preserve">Li, Y. (2012, July 14). </w:t>
      </w:r>
      <w:r>
        <w:rPr>
          <w:rFonts w:ascii="Candara" w:eastAsia="SimSun" w:hAnsi="Candara" w:cs="Arial"/>
          <w:sz w:val="24"/>
          <w:szCs w:val="24"/>
        </w:rPr>
        <w:t>中国与阿塞拜疆签署教育合作协议</w:t>
      </w:r>
      <w:r>
        <w:rPr>
          <w:rFonts w:ascii="Candara" w:eastAsia="SimSun" w:hAnsi="Candara" w:cs="Arial"/>
          <w:sz w:val="24"/>
          <w:szCs w:val="24"/>
        </w:rPr>
        <w:t xml:space="preserve"> [China and Azerbaijan sign an educational cooperation agreement]. CRI Online. https://news.sina.com.cn/o/2012-07-14/122124774249.shtml</w:t>
      </w:r>
    </w:p>
    <w:p w14:paraId="5E586AF7"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Ministry of Education of the People’s Republic of China. (2016, August 11). </w:t>
      </w:r>
      <w:r>
        <w:rPr>
          <w:rFonts w:ascii="Candara" w:eastAsia="SimSun" w:hAnsi="Candara" w:cs="Arial"/>
          <w:sz w:val="24"/>
          <w:szCs w:val="24"/>
        </w:rPr>
        <w:t>教育部关于印发《推进共建</w:t>
      </w:r>
      <w:r>
        <w:rPr>
          <w:rFonts w:ascii="Candara" w:eastAsia="SimSun" w:hAnsi="Candara" w:cs="Arial"/>
          <w:sz w:val="24"/>
          <w:szCs w:val="24"/>
        </w:rPr>
        <w:t>“</w:t>
      </w:r>
      <w:r>
        <w:rPr>
          <w:rFonts w:ascii="Candara" w:eastAsia="SimSun" w:hAnsi="Candara" w:cs="Arial"/>
          <w:sz w:val="24"/>
          <w:szCs w:val="24"/>
        </w:rPr>
        <w:t>一带一路</w:t>
      </w:r>
      <w:r>
        <w:rPr>
          <w:rFonts w:ascii="Candara" w:eastAsia="SimSun" w:hAnsi="Candara" w:cs="Arial"/>
          <w:sz w:val="24"/>
          <w:szCs w:val="24"/>
        </w:rPr>
        <w:t>”</w:t>
      </w:r>
      <w:r>
        <w:rPr>
          <w:rFonts w:ascii="Candara" w:eastAsia="SimSun" w:hAnsi="Candara" w:cs="Arial"/>
          <w:sz w:val="24"/>
          <w:szCs w:val="24"/>
        </w:rPr>
        <w:t>教育行动》的通知</w:t>
      </w:r>
      <w:r>
        <w:rPr>
          <w:rFonts w:ascii="Candara" w:eastAsia="SimSun" w:hAnsi="Candara" w:cs="Arial"/>
          <w:sz w:val="24"/>
          <w:szCs w:val="24"/>
        </w:rPr>
        <w:t xml:space="preserve"> [Notice on issuing the Education Action for jointly building the Belt and Road]. https://www.moe.gov.cn/srcsite/A20/s7068/201608/t20160811_274679.html</w:t>
      </w:r>
    </w:p>
    <w:p w14:paraId="010C74A1"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Niftaliyeva, K., &amp; Najafli, M. (2024). Methods of integrating media literacy into the Azerbaijani education system. </w:t>
      </w:r>
      <w:r>
        <w:rPr>
          <w:rFonts w:ascii="Candara" w:eastAsia="SimSun" w:hAnsi="Candara" w:cs="Arial"/>
          <w:i/>
          <w:iCs/>
          <w:sz w:val="24"/>
          <w:szCs w:val="24"/>
        </w:rPr>
        <w:t>Danish Scientific Journal, 91</w:t>
      </w:r>
      <w:r>
        <w:rPr>
          <w:rFonts w:ascii="Candara" w:eastAsia="SimSun" w:hAnsi="Candara" w:cs="Arial"/>
          <w:sz w:val="24"/>
          <w:szCs w:val="24"/>
        </w:rPr>
        <w:t>, 33-39. https://www.danish-journal.com/wp-content/uploads/2025/01/DSJ_91.pdf</w:t>
      </w:r>
    </w:p>
    <w:p w14:paraId="55E2F15F"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Pearce, K. E., &amp; Rice, R. E. (2014, October 15). The language divide-The persistence of English proficiency as a gateway to the Internet: The cases of Armenia, Azerbaijan, and Georgia. </w:t>
      </w:r>
      <w:r>
        <w:rPr>
          <w:rFonts w:ascii="Candara" w:eastAsia="SimSun" w:hAnsi="Candara" w:cs="Arial"/>
          <w:i/>
          <w:iCs/>
          <w:sz w:val="24"/>
          <w:szCs w:val="24"/>
        </w:rPr>
        <w:t>International Journal of Communication, 8</w:t>
      </w:r>
      <w:r>
        <w:rPr>
          <w:rFonts w:ascii="Candara" w:eastAsia="SimSun" w:hAnsi="Candara" w:cs="Arial"/>
          <w:sz w:val="24"/>
          <w:szCs w:val="24"/>
        </w:rPr>
        <w:t>, 2834-2859. https://ijoc.org/index.php/ijoc/article/view/2075</w:t>
      </w:r>
    </w:p>
    <w:p w14:paraId="7E529BC8"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Peters, M. A. (2022). The Chinese Dream, Belt and Road Initiative and the future of education: A philosophical postscript. </w:t>
      </w:r>
      <w:r>
        <w:rPr>
          <w:rFonts w:ascii="Candara" w:eastAsia="SimSun" w:hAnsi="Candara" w:cs="Arial"/>
          <w:i/>
          <w:iCs/>
          <w:sz w:val="24"/>
          <w:szCs w:val="24"/>
        </w:rPr>
        <w:t>Educational Philosophy and Theory, 54</w:t>
      </w:r>
      <w:r>
        <w:rPr>
          <w:rFonts w:ascii="Candara" w:eastAsia="SimSun" w:hAnsi="Candara" w:cs="Arial"/>
          <w:sz w:val="24"/>
          <w:szCs w:val="24"/>
        </w:rPr>
        <w:t>(7), 857–862. https://doi.org/10.1080/00131857.2019.1696272</w:t>
      </w:r>
    </w:p>
    <w:p w14:paraId="422F3DE5"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Sun, Y. (2017, April 10). </w:t>
      </w:r>
      <w:r>
        <w:rPr>
          <w:rFonts w:ascii="Candara" w:eastAsia="SimSun" w:hAnsi="Candara" w:cs="Arial"/>
          <w:sz w:val="24"/>
          <w:szCs w:val="24"/>
        </w:rPr>
        <w:t>巴库国立大学孔子学院参加庆祝中国与阿塞拜疆建交二十五周年招待会</w:t>
      </w:r>
      <w:r>
        <w:rPr>
          <w:rFonts w:ascii="Candara" w:eastAsia="SimSun" w:hAnsi="Candara" w:cs="Arial"/>
          <w:sz w:val="24"/>
          <w:szCs w:val="24"/>
        </w:rPr>
        <w:t xml:space="preserve"> [Baku State University Confucius Institute participates in a reception celebrating the 25th anniversary of the establishment of diplomatic relations between China and Azerbaijan]. Anhui University. https://gjc.ahu.edu.cn/2017/0410/c10023a77239/page.psp</w:t>
      </w:r>
    </w:p>
    <w:p w14:paraId="296645F2"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Svetlicinii, A. (2018). China’s Belt and Road Initiative and the Eurasian Economic Union: “Integrating the integrations.” </w:t>
      </w:r>
      <w:r>
        <w:rPr>
          <w:rFonts w:ascii="Candara" w:eastAsia="SimSun" w:hAnsi="Candara" w:cs="Arial"/>
          <w:i/>
          <w:iCs/>
          <w:sz w:val="24"/>
          <w:szCs w:val="24"/>
        </w:rPr>
        <w:t>Public Administration Issues</w:t>
      </w:r>
      <w:r>
        <w:rPr>
          <w:rFonts w:ascii="Candara" w:eastAsia="SimSun" w:hAnsi="Candara" w:cs="Arial"/>
          <w:sz w:val="24"/>
          <w:szCs w:val="24"/>
        </w:rPr>
        <w:t>, Special Issue, 7-20. https://doi.org/10.17323/1999-5431-2018-0-5-7-20</w:t>
      </w:r>
    </w:p>
    <w:p w14:paraId="539620E4"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Xinhua News Agency. (2025a, April 23). </w:t>
      </w:r>
      <w:r>
        <w:rPr>
          <w:rFonts w:ascii="Candara" w:eastAsia="SimSun" w:hAnsi="Candara" w:cs="Arial"/>
          <w:sz w:val="24"/>
          <w:szCs w:val="24"/>
        </w:rPr>
        <w:t>中华人民共和国和阿塞拜疆共和国关于建立全面战略伙伴关系的联合声明</w:t>
      </w:r>
      <w:r>
        <w:rPr>
          <w:rFonts w:ascii="Candara" w:eastAsia="SimSun" w:hAnsi="Candara" w:cs="Arial"/>
          <w:sz w:val="24"/>
          <w:szCs w:val="24"/>
        </w:rPr>
        <w:t xml:space="preserve"> [Joint statement between the People’s Republic of China and the Republic of Azerbaijan on establishing a comprehensive strategic partnership]. Xinhua. https://www.news.cn/world/20250423/23f8c3c33aa746dab14c5b422eb9ca8b/c.html</w:t>
      </w:r>
    </w:p>
    <w:p w14:paraId="4178ABB6"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Xinhua News Agency. (2025b, May 24). </w:t>
      </w:r>
      <w:r>
        <w:rPr>
          <w:rFonts w:ascii="Candara" w:eastAsia="SimSun" w:hAnsi="Candara" w:cs="Arial"/>
          <w:sz w:val="24"/>
          <w:szCs w:val="24"/>
        </w:rPr>
        <w:t>记者手记丨中文为中国和阿塞拜疆架起友谊桥</w:t>
      </w:r>
      <w:r>
        <w:rPr>
          <w:rFonts w:ascii="Candara" w:eastAsia="SimSun" w:hAnsi="Candara" w:cs="Arial"/>
          <w:sz w:val="24"/>
          <w:szCs w:val="24"/>
        </w:rPr>
        <w:t xml:space="preserve"> [Reporter’s notes: Chinese language builds a bridge of friendship between China and Azerbaijan]. Xinhua. https://www.news.cn/world/20250524/cd6c31e9b85f4301be89b74868376459/c.html</w:t>
      </w:r>
    </w:p>
    <w:p w14:paraId="4D6039A3"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Yue, X., Yang, S., Chen, B., Wanglee, W., &amp; Ye, Y. (2022). A review on higher education of Belt and Road Initiative: Key findings and emerging themes. </w:t>
      </w:r>
      <w:r>
        <w:rPr>
          <w:rFonts w:ascii="Candara" w:eastAsia="SimSun" w:hAnsi="Candara" w:cs="Arial"/>
          <w:i/>
          <w:iCs/>
          <w:sz w:val="24"/>
          <w:szCs w:val="24"/>
        </w:rPr>
        <w:t>Higher Education Studies, 12</w:t>
      </w:r>
      <w:r>
        <w:rPr>
          <w:rFonts w:ascii="Candara" w:eastAsia="SimSun" w:hAnsi="Candara" w:cs="Arial"/>
          <w:sz w:val="24"/>
          <w:szCs w:val="24"/>
        </w:rPr>
        <w:t>(2), 93–101. https://doi.org/10.5539/hes.v12n2p93</w:t>
      </w:r>
    </w:p>
    <w:p w14:paraId="7F8FF7DB"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Zhang, B. (2025). 5G</w:t>
      </w:r>
      <w:r>
        <w:rPr>
          <w:rFonts w:ascii="Candara" w:eastAsia="SimSun" w:hAnsi="Candara" w:cs="Arial"/>
          <w:sz w:val="24"/>
          <w:szCs w:val="24"/>
        </w:rPr>
        <w:t>时代媒体融合与新闻传播效率提升</w:t>
      </w:r>
      <w:r>
        <w:rPr>
          <w:rFonts w:ascii="Candara" w:eastAsia="SimSun" w:hAnsi="Candara" w:cs="Arial"/>
          <w:sz w:val="24"/>
          <w:szCs w:val="24"/>
        </w:rPr>
        <w:t xml:space="preserve"> [Media convergence and the improvement of news communication efficiency in the 5G era]. </w:t>
      </w:r>
      <w:r>
        <w:rPr>
          <w:rFonts w:ascii="Candara" w:eastAsia="SimSun" w:hAnsi="Candara" w:cs="Arial"/>
          <w:i/>
          <w:iCs/>
          <w:sz w:val="24"/>
          <w:szCs w:val="24"/>
        </w:rPr>
        <w:t>China Newspaper Industry</w:t>
      </w:r>
      <w:r>
        <w:rPr>
          <w:rFonts w:ascii="Candara" w:eastAsia="SimSun" w:hAnsi="Candara" w:cs="Arial"/>
          <w:sz w:val="24"/>
          <w:szCs w:val="24"/>
        </w:rPr>
        <w:t>, (10), 172-173. https://doi.org/10.13854/j.cnki.cni.2025.10.062</w:t>
      </w:r>
    </w:p>
    <w:p w14:paraId="51247E00" w14:textId="77777777" w:rsidR="005F1E75" w:rsidRDefault="00D97319">
      <w:pPr>
        <w:spacing w:after="0" w:line="240" w:lineRule="auto"/>
        <w:ind w:left="709" w:hanging="709"/>
        <w:jc w:val="both"/>
        <w:rPr>
          <w:rFonts w:ascii="Candara" w:eastAsia="SimSun" w:hAnsi="Candara" w:cs="Arial"/>
          <w:sz w:val="24"/>
          <w:szCs w:val="24"/>
        </w:rPr>
      </w:pPr>
      <w:r>
        <w:rPr>
          <w:rFonts w:ascii="Candara" w:eastAsia="SimSun" w:hAnsi="Candara" w:cs="Arial"/>
          <w:sz w:val="24"/>
          <w:szCs w:val="24"/>
        </w:rPr>
        <w:t xml:space="preserve">Zhao, Y., &amp; Lu, J. (2024, July 4). </w:t>
      </w:r>
      <w:r>
        <w:rPr>
          <w:rFonts w:ascii="Candara" w:eastAsia="SimSun" w:hAnsi="Candara" w:cs="Arial"/>
          <w:sz w:val="24"/>
          <w:szCs w:val="24"/>
        </w:rPr>
        <w:t>习近平会见阿塞拜疆总统阿利耶夫</w:t>
      </w:r>
      <w:r>
        <w:rPr>
          <w:rFonts w:ascii="Candara" w:eastAsia="SimSun" w:hAnsi="Candara" w:cs="Arial"/>
          <w:sz w:val="24"/>
          <w:szCs w:val="24"/>
        </w:rPr>
        <w:t xml:space="preserve"> [Xi Jinping meets with Azerbaijani President Ilham Aliyev]. Xinhua News Agency. https://www.gov.cn/yaowen/liebiao/202407/content_6961049.htm</w:t>
      </w:r>
    </w:p>
    <w:sectPr w:rsidR="005F1E75" w:rsidSect="00560D0E">
      <w:headerReference w:type="default" r:id="rId7"/>
      <w:footerReference w:type="default" r:id="rId8"/>
      <w:headerReference w:type="first" r:id="rId9"/>
      <w:footerReference w:type="first" r:id="rId10"/>
      <w:pgSz w:w="11910" w:h="16840"/>
      <w:pgMar w:top="1134" w:right="1134" w:bottom="1134" w:left="1134" w:header="567" w:footer="567" w:gutter="0"/>
      <w:pgNumType w:start="5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C4451" w14:textId="77777777" w:rsidR="00E06F50" w:rsidRDefault="00E06F50" w:rsidP="00B61FA3">
      <w:pPr>
        <w:spacing w:after="0" w:line="240" w:lineRule="auto"/>
      </w:pPr>
      <w:r>
        <w:separator/>
      </w:r>
    </w:p>
  </w:endnote>
  <w:endnote w:type="continuationSeparator" w:id="0">
    <w:p w14:paraId="7DC14A33" w14:textId="77777777" w:rsidR="00E06F50" w:rsidRDefault="00E06F50" w:rsidP="00B61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ndara" w:hAnsi="Candara"/>
        <w:sz w:val="24"/>
        <w:szCs w:val="24"/>
      </w:rPr>
      <w:id w:val="-1932735888"/>
      <w:docPartObj>
        <w:docPartGallery w:val="Page Numbers (Bottom of Page)"/>
        <w:docPartUnique/>
      </w:docPartObj>
    </w:sdtPr>
    <w:sdtEndPr>
      <w:rPr>
        <w:noProof/>
      </w:rPr>
    </w:sdtEndPr>
    <w:sdtContent>
      <w:p w14:paraId="1D2ABEFB" w14:textId="77777777" w:rsidR="00B61FA3" w:rsidRPr="00B52A08" w:rsidRDefault="00B61FA3" w:rsidP="00B52A08">
        <w:pPr>
          <w:pStyle w:val="Footer"/>
          <w:jc w:val="center"/>
          <w:rPr>
            <w:rFonts w:ascii="Candara" w:hAnsi="Candara"/>
            <w:sz w:val="24"/>
            <w:szCs w:val="24"/>
          </w:rPr>
        </w:pPr>
        <w:r w:rsidRPr="00ED70A1">
          <w:rPr>
            <w:rFonts w:ascii="Candara" w:hAnsi="Candara"/>
            <w:sz w:val="24"/>
            <w:szCs w:val="24"/>
          </w:rPr>
          <w:fldChar w:fldCharType="begin"/>
        </w:r>
        <w:r w:rsidRPr="00ED70A1">
          <w:rPr>
            <w:rFonts w:ascii="Candara" w:hAnsi="Candara"/>
            <w:sz w:val="24"/>
            <w:szCs w:val="24"/>
          </w:rPr>
          <w:instrText xml:space="preserve"> PAGE   \* MERGEFORMAT </w:instrText>
        </w:r>
        <w:r w:rsidRPr="00ED70A1">
          <w:rPr>
            <w:rFonts w:ascii="Candara" w:hAnsi="Candara"/>
            <w:sz w:val="24"/>
            <w:szCs w:val="24"/>
          </w:rPr>
          <w:fldChar w:fldCharType="separate"/>
        </w:r>
        <w:r w:rsidRPr="00ED70A1">
          <w:rPr>
            <w:rFonts w:ascii="Candara" w:hAnsi="Candara"/>
            <w:noProof/>
            <w:sz w:val="24"/>
            <w:szCs w:val="24"/>
          </w:rPr>
          <w:t>2</w:t>
        </w:r>
        <w:r w:rsidRPr="00ED70A1">
          <w:rPr>
            <w:rFonts w:ascii="Candara" w:hAnsi="Candara"/>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F6B5" w14:textId="77777777" w:rsidR="00B61FA3" w:rsidRPr="0063205E" w:rsidRDefault="00B61FA3" w:rsidP="00BA4DC8">
    <w:pPr>
      <w:pStyle w:val="Footer"/>
      <w:jc w:val="both"/>
      <w:rPr>
        <w:rFonts w:ascii="Candara" w:hAnsi="Candara"/>
        <w:sz w:val="18"/>
        <w:szCs w:val="18"/>
      </w:rPr>
    </w:pPr>
    <w:r w:rsidRPr="0063205E">
      <w:rPr>
        <w:rFonts w:ascii="Candara" w:hAnsi="Candara"/>
        <w:sz w:val="18"/>
        <w:szCs w:val="18"/>
        <w:shd w:val="clear" w:color="auto" w:fill="FFFFFF"/>
      </w:rPr>
      <w:t>Copyright © 202</w:t>
    </w:r>
    <w:r w:rsidR="004F63AD">
      <w:rPr>
        <w:rFonts w:ascii="Candara" w:hAnsi="Candara"/>
        <w:sz w:val="18"/>
        <w:szCs w:val="18"/>
        <w:shd w:val="clear" w:color="auto" w:fill="FFFFFF"/>
      </w:rPr>
      <w:t>6</w:t>
    </w:r>
    <w:r w:rsidRPr="0063205E">
      <w:rPr>
        <w:rFonts w:ascii="Candara" w:hAnsi="Candara"/>
        <w:sz w:val="18"/>
        <w:szCs w:val="18"/>
        <w:shd w:val="clear" w:color="auto" w:fill="FFFFFF"/>
      </w:rPr>
      <w:t xml:space="preserve"> Authors. This is an open-access article distributed under the terms of the Creative Commons Attribution-ShareAlike 4.0 International License (</w:t>
    </w:r>
    <w:hyperlink r:id="rId1" w:history="1">
      <w:r w:rsidRPr="0063205E">
        <w:rPr>
          <w:rStyle w:val="Hyperlink"/>
          <w:rFonts w:ascii="Candara" w:hAnsi="Candara"/>
          <w:color w:val="auto"/>
          <w:sz w:val="18"/>
          <w:szCs w:val="18"/>
          <w:u w:val="none"/>
          <w:shd w:val="clear" w:color="auto" w:fill="FFFFFF"/>
        </w:rPr>
        <w:t>http://creativecommons.org/licences/by-sa/4.0/</w:t>
      </w:r>
    </w:hyperlink>
    <w:r w:rsidRPr="0063205E">
      <w:rPr>
        <w:rFonts w:ascii="Candara" w:hAnsi="Candara"/>
        <w:sz w:val="18"/>
        <w:szCs w:val="18"/>
        <w:shd w:val="clear" w:color="auto" w:fil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64C42" w14:textId="77777777" w:rsidR="00E06F50" w:rsidRDefault="00E06F50" w:rsidP="00B61FA3">
      <w:pPr>
        <w:spacing w:after="0" w:line="240" w:lineRule="auto"/>
      </w:pPr>
      <w:r>
        <w:separator/>
      </w:r>
    </w:p>
  </w:footnote>
  <w:footnote w:type="continuationSeparator" w:id="0">
    <w:p w14:paraId="4280A179" w14:textId="77777777" w:rsidR="00E06F50" w:rsidRDefault="00E06F50" w:rsidP="00B61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F5A1E" w14:textId="77777777" w:rsidR="00B61FA3" w:rsidRPr="0055572C" w:rsidRDefault="00B61FA3" w:rsidP="0055572C">
    <w:pPr>
      <w:widowControl w:val="0"/>
      <w:pBdr>
        <w:top w:val="nil"/>
        <w:left w:val="nil"/>
        <w:bottom w:val="nil"/>
        <w:right w:val="nil"/>
        <w:between w:val="nil"/>
      </w:pBdr>
      <w:spacing w:after="0" w:line="240" w:lineRule="auto"/>
      <w:jc w:val="right"/>
      <w:rPr>
        <w:rFonts w:ascii="Candara" w:hAnsi="Candara" w:cs="Noto Serif"/>
        <w:i/>
        <w:iCs/>
        <w:sz w:val="24"/>
        <w:szCs w:val="24"/>
        <w:shd w:val="clear" w:color="auto" w:fill="FFFFFF"/>
      </w:rPr>
    </w:pPr>
    <w:r w:rsidRPr="00A5413B">
      <w:rPr>
        <w:rFonts w:ascii="Candara" w:hAnsi="Candara" w:cs="Noto Serif"/>
        <w:i/>
        <w:iCs/>
        <w:sz w:val="24"/>
        <w:szCs w:val="24"/>
        <w:shd w:val="clear" w:color="auto" w:fill="FFFFFF"/>
      </w:rPr>
      <w:t xml:space="preserve">SSIJ | Vol </w:t>
    </w:r>
    <w:r w:rsidR="004F63AD">
      <w:rPr>
        <w:rFonts w:ascii="Candara" w:hAnsi="Candara" w:cs="Noto Serif"/>
        <w:i/>
        <w:iCs/>
        <w:sz w:val="24"/>
        <w:szCs w:val="24"/>
        <w:shd w:val="clear" w:color="auto" w:fill="FFFFFF"/>
      </w:rPr>
      <w:t>4</w:t>
    </w:r>
    <w:r w:rsidRPr="00A5413B">
      <w:rPr>
        <w:rFonts w:ascii="Candara" w:hAnsi="Candara" w:cs="Noto Serif"/>
        <w:i/>
        <w:iCs/>
        <w:sz w:val="24"/>
        <w:szCs w:val="24"/>
        <w:shd w:val="clear" w:color="auto" w:fill="FFFFFF"/>
      </w:rPr>
      <w:t xml:space="preserve">, No </w:t>
    </w:r>
    <w:r w:rsidR="00A06A3B">
      <w:rPr>
        <w:rFonts w:ascii="Candara" w:hAnsi="Candara" w:cs="Noto Serif"/>
        <w:i/>
        <w:iCs/>
        <w:sz w:val="24"/>
        <w:szCs w:val="24"/>
        <w:shd w:val="clear" w:color="auto" w:fill="FFFFFF"/>
      </w:rPr>
      <w:t>2</w:t>
    </w:r>
    <w:r w:rsidRPr="00A5413B">
      <w:rPr>
        <w:rFonts w:ascii="Candara" w:hAnsi="Candara" w:cs="Noto Serif"/>
        <w:i/>
        <w:iCs/>
        <w:sz w:val="24"/>
        <w:szCs w:val="24"/>
        <w:shd w:val="clear" w:color="auto" w:fill="FFFFFF"/>
      </w:rPr>
      <w:t>, 202</w:t>
    </w:r>
    <w:r w:rsidR="004F63AD">
      <w:rPr>
        <w:rFonts w:ascii="Candara" w:hAnsi="Candara" w:cs="Noto Serif"/>
        <w:i/>
        <w:iCs/>
        <w:sz w:val="24"/>
        <w:szCs w:val="24"/>
        <w:shd w:val="clear" w:color="auto" w:fill="FFFFFF"/>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7623"/>
      <w:gridCol w:w="1026"/>
    </w:tblGrid>
    <w:tr w:rsidR="00B61FA3" w:rsidRPr="00396B21" w14:paraId="7BD5D1D6" w14:textId="77777777" w:rsidTr="00D16F87">
      <w:trPr>
        <w:trHeight w:val="1247"/>
      </w:trPr>
      <w:tc>
        <w:tcPr>
          <w:tcW w:w="993" w:type="dxa"/>
        </w:tcPr>
        <w:p w14:paraId="2B5BE07B" w14:textId="77777777" w:rsidR="00B61FA3" w:rsidRPr="00396B21" w:rsidRDefault="00B61FA3" w:rsidP="00D967B8">
          <w:pPr>
            <w:widowControl w:val="0"/>
            <w:spacing w:line="240" w:lineRule="auto"/>
            <w:jc w:val="center"/>
            <w:rPr>
              <w:rFonts w:ascii="Candara" w:hAnsi="Candara" w:cs="Noto Serif"/>
              <w:sz w:val="20"/>
              <w:szCs w:val="20"/>
              <w:shd w:val="clear" w:color="auto" w:fill="FFFFFF"/>
            </w:rPr>
          </w:pPr>
          <w:r w:rsidRPr="00396B21">
            <w:rPr>
              <w:rFonts w:ascii="Candara" w:hAnsi="Candara" w:cs="Noto Serif"/>
              <w:noProof/>
              <w:sz w:val="20"/>
              <w:szCs w:val="20"/>
              <w:shd w:val="clear" w:color="auto" w:fill="FFFFFF"/>
            </w:rPr>
            <w:drawing>
              <wp:inline distT="0" distB="0" distL="0" distR="0" wp14:anchorId="1154194C" wp14:editId="625B34B3">
                <wp:extent cx="447675" cy="719455"/>
                <wp:effectExtent l="0" t="0" r="9525"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l="13604" r="15354" b="10518"/>
                        <a:stretch/>
                      </pic:blipFill>
                      <pic:spPr bwMode="auto">
                        <a:xfrm>
                          <a:off x="0" y="0"/>
                          <a:ext cx="448014"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7623" w:type="dxa"/>
          <w:vAlign w:val="center"/>
        </w:tcPr>
        <w:p w14:paraId="7EBFA260" w14:textId="77777777" w:rsidR="00B61FA3" w:rsidRPr="0063205E" w:rsidRDefault="00B61FA3" w:rsidP="00D967B8">
          <w:pPr>
            <w:widowControl w:val="0"/>
            <w:spacing w:line="240" w:lineRule="auto"/>
            <w:jc w:val="center"/>
            <w:rPr>
              <w:rFonts w:ascii="Candara" w:hAnsi="Candara" w:cs="Noto Serif"/>
              <w:sz w:val="20"/>
              <w:szCs w:val="20"/>
              <w:shd w:val="clear" w:color="auto" w:fill="FFFFFF"/>
            </w:rPr>
          </w:pPr>
          <w:r w:rsidRPr="0063205E">
            <w:rPr>
              <w:rFonts w:ascii="Candara" w:hAnsi="Candara" w:cs="Noto Serif"/>
              <w:sz w:val="20"/>
              <w:szCs w:val="20"/>
              <w:shd w:val="clear" w:color="auto" w:fill="FFFFFF"/>
            </w:rPr>
            <w:t xml:space="preserve">Contents lists available at </w:t>
          </w:r>
          <w:hyperlink r:id="rId2" w:history="1">
            <w:r w:rsidRPr="0063205E">
              <w:rPr>
                <w:rStyle w:val="Hyperlink"/>
                <w:rFonts w:ascii="Candara" w:hAnsi="Candara" w:cs="Noto Serif"/>
                <w:color w:val="auto"/>
                <w:sz w:val="20"/>
                <w:szCs w:val="20"/>
                <w:u w:val="none"/>
                <w:shd w:val="clear" w:color="auto" w:fill="FFFFFF"/>
              </w:rPr>
              <w:t>MID Publisher International</w:t>
            </w:r>
          </w:hyperlink>
        </w:p>
        <w:p w14:paraId="18C538F5" w14:textId="77777777" w:rsidR="00B61FA3" w:rsidRPr="0063205E" w:rsidRDefault="00B61FA3" w:rsidP="00D967B8">
          <w:pPr>
            <w:widowControl w:val="0"/>
            <w:pBdr>
              <w:top w:val="nil"/>
              <w:left w:val="nil"/>
              <w:bottom w:val="nil"/>
              <w:right w:val="nil"/>
              <w:between w:val="nil"/>
            </w:pBdr>
            <w:spacing w:line="240" w:lineRule="auto"/>
            <w:jc w:val="center"/>
            <w:rPr>
              <w:rFonts w:ascii="Candara" w:hAnsi="Candara" w:cs="Noto Serif"/>
              <w:b/>
              <w:bCs/>
              <w:sz w:val="36"/>
              <w:szCs w:val="36"/>
              <w:shd w:val="clear" w:color="auto" w:fill="FFFFFF"/>
            </w:rPr>
          </w:pPr>
          <w:r w:rsidRPr="0063205E">
            <w:rPr>
              <w:rFonts w:ascii="Candara" w:hAnsi="Candara" w:cs="Noto Serif"/>
              <w:b/>
              <w:bCs/>
              <w:sz w:val="36"/>
              <w:szCs w:val="36"/>
              <w:shd w:val="clear" w:color="auto" w:fill="FFFFFF"/>
            </w:rPr>
            <w:t xml:space="preserve">Social Sciences Insights Journal </w:t>
          </w:r>
        </w:p>
        <w:p w14:paraId="6126E10C" w14:textId="77777777" w:rsidR="00B61FA3" w:rsidRPr="0063205E" w:rsidRDefault="00B61FA3" w:rsidP="00D967B8">
          <w:pPr>
            <w:widowControl w:val="0"/>
            <w:pBdr>
              <w:top w:val="nil"/>
              <w:left w:val="nil"/>
              <w:bottom w:val="nil"/>
              <w:right w:val="nil"/>
              <w:between w:val="nil"/>
            </w:pBdr>
            <w:spacing w:line="240" w:lineRule="auto"/>
            <w:jc w:val="center"/>
            <w:rPr>
              <w:rFonts w:ascii="Candara" w:eastAsia="Arial" w:hAnsi="Candara" w:cs="Arial"/>
              <w:sz w:val="20"/>
              <w:szCs w:val="20"/>
            </w:rPr>
          </w:pPr>
          <w:r w:rsidRPr="0063205E">
            <w:rPr>
              <w:rFonts w:ascii="Candara" w:hAnsi="Candara" w:cs="Noto Serif"/>
              <w:sz w:val="20"/>
              <w:szCs w:val="20"/>
              <w:shd w:val="clear" w:color="auto" w:fill="FFFFFF"/>
            </w:rPr>
            <w:t xml:space="preserve">Journal homepage: </w:t>
          </w:r>
          <w:hyperlink r:id="rId3" w:history="1">
            <w:r w:rsidRPr="0063205E">
              <w:rPr>
                <w:rStyle w:val="Hyperlink"/>
                <w:rFonts w:ascii="Candara" w:hAnsi="Candara" w:cs="Noto Serif"/>
                <w:color w:val="auto"/>
                <w:sz w:val="20"/>
                <w:szCs w:val="20"/>
                <w:u w:val="none"/>
                <w:shd w:val="clear" w:color="auto" w:fill="FFFFFF"/>
              </w:rPr>
              <w:t>https://journal.midpublisher.com/index.php/ssij</w:t>
            </w:r>
          </w:hyperlink>
          <w:r w:rsidRPr="0063205E">
            <w:rPr>
              <w:rFonts w:ascii="Candara" w:hAnsi="Candara" w:cs="Noto Serif"/>
              <w:sz w:val="20"/>
              <w:szCs w:val="20"/>
              <w:shd w:val="clear" w:color="auto" w:fill="FFFFFF"/>
            </w:rPr>
            <w:t xml:space="preserve"> </w:t>
          </w:r>
        </w:p>
      </w:tc>
      <w:tc>
        <w:tcPr>
          <w:tcW w:w="1026" w:type="dxa"/>
        </w:tcPr>
        <w:p w14:paraId="2B948598" w14:textId="77777777" w:rsidR="00B61FA3" w:rsidRPr="00396B21" w:rsidRDefault="00B61FA3" w:rsidP="00D967B8">
          <w:pPr>
            <w:widowControl w:val="0"/>
            <w:spacing w:line="240" w:lineRule="auto"/>
            <w:jc w:val="center"/>
            <w:rPr>
              <w:rFonts w:ascii="Candara" w:hAnsi="Candara" w:cs="Noto Serif"/>
              <w:sz w:val="20"/>
              <w:szCs w:val="20"/>
              <w:shd w:val="clear" w:color="auto" w:fill="FFFFFF"/>
            </w:rPr>
          </w:pPr>
          <w:r w:rsidRPr="00396B21">
            <w:rPr>
              <w:rFonts w:ascii="Candara" w:hAnsi="Candara" w:cs="Noto Serif"/>
              <w:noProof/>
              <w:sz w:val="20"/>
              <w:szCs w:val="20"/>
              <w:shd w:val="clear" w:color="auto" w:fill="FFFFFF"/>
            </w:rPr>
            <w:drawing>
              <wp:inline distT="0" distB="0" distL="0" distR="0" wp14:anchorId="6001AACA" wp14:editId="3B01F993">
                <wp:extent cx="507692" cy="720000"/>
                <wp:effectExtent l="0" t="0" r="698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a:extLst>
                            <a:ext uri="{28A0092B-C50C-407E-A947-70E740481C1C}">
                              <a14:useLocalDpi xmlns:a14="http://schemas.microsoft.com/office/drawing/2010/main" val="0"/>
                            </a:ext>
                          </a:extLst>
                        </a:blip>
                        <a:stretch>
                          <a:fillRect/>
                        </a:stretch>
                      </pic:blipFill>
                      <pic:spPr>
                        <a:xfrm>
                          <a:off x="0" y="0"/>
                          <a:ext cx="507692" cy="720000"/>
                        </a:xfrm>
                        <a:prstGeom prst="rect">
                          <a:avLst/>
                        </a:prstGeom>
                      </pic:spPr>
                    </pic:pic>
                  </a:graphicData>
                </a:graphic>
              </wp:inline>
            </w:drawing>
          </w:r>
        </w:p>
      </w:tc>
    </w:tr>
  </w:tbl>
  <w:p w14:paraId="54DFF2BB" w14:textId="77777777" w:rsidR="00B61FA3" w:rsidRPr="001425CD" w:rsidRDefault="00B61FA3" w:rsidP="00D967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FC5"/>
    <w:multiLevelType w:val="multilevel"/>
    <w:tmpl w:val="78AA7A52"/>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 w15:restartNumberingAfterBreak="0">
    <w:nsid w:val="00A99411"/>
    <w:multiLevelType w:val="multilevel"/>
    <w:tmpl w:val="A4C45B26"/>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2" w15:restartNumberingAfterBreak="0">
    <w:nsid w:val="0DBD39C4"/>
    <w:multiLevelType w:val="hybridMultilevel"/>
    <w:tmpl w:val="5EC626EC"/>
    <w:lvl w:ilvl="0" w:tplc="04090017">
      <w:start w:val="1"/>
      <w:numFmt w:val="lowerLetter"/>
      <w:lvlText w:val="%1)"/>
      <w:lvlJc w:val="left"/>
      <w:pPr>
        <w:ind w:left="294" w:hanging="360"/>
      </w:pPr>
      <w:rPr>
        <w:rFonts w:hint="default"/>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 w15:restartNumberingAfterBreak="0">
    <w:nsid w:val="0EAC1CF3"/>
    <w:multiLevelType w:val="hybridMultilevel"/>
    <w:tmpl w:val="978EC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4D52F5"/>
    <w:multiLevelType w:val="hybridMultilevel"/>
    <w:tmpl w:val="93CC89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6B15362"/>
    <w:multiLevelType w:val="multilevel"/>
    <w:tmpl w:val="19A42A2E"/>
    <w:lvl w:ilvl="0">
      <w:start w:val="1"/>
      <w:numFmt w:val="lowerLetter"/>
      <w:lvlText w:val="%1)"/>
      <w:lvlJc w:val="left"/>
      <w:pPr>
        <w:tabs>
          <w:tab w:val="num" w:pos="720"/>
        </w:tabs>
        <w:ind w:left="720" w:hanging="360"/>
      </w:pPr>
      <w:rPr>
        <w:rFonts w:ascii="Candara" w:eastAsia="Times New Roman" w:hAnsi="Candara"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D5CAF"/>
    <w:multiLevelType w:val="multilevel"/>
    <w:tmpl w:val="F4949CA6"/>
    <w:lvl w:ilvl="0">
      <w:start w:val="1"/>
      <w:numFmt w:val="lowerLetter"/>
      <w:lvlText w:val="%1)"/>
      <w:lvlJc w:val="left"/>
      <w:pPr>
        <w:tabs>
          <w:tab w:val="num" w:pos="1070"/>
        </w:tabs>
        <w:ind w:left="1070" w:hanging="360"/>
      </w:pPr>
      <w:rPr>
        <w:rFonts w:hint="default"/>
        <w:sz w:val="24"/>
        <w:szCs w:val="24"/>
      </w:rPr>
    </w:lvl>
    <w:lvl w:ilvl="1">
      <w:start w:val="1"/>
      <w:numFmt w:val="lowerLetter"/>
      <w:lvlText w:val="%2."/>
      <w:lvlJc w:val="left"/>
      <w:pPr>
        <w:ind w:left="1790" w:hanging="360"/>
      </w:pPr>
      <w:rPr>
        <w:rFonts w:hint="default"/>
      </w:rPr>
    </w:lvl>
    <w:lvl w:ilvl="2">
      <w:start w:val="1"/>
      <w:numFmt w:val="upperLetter"/>
      <w:lvlText w:val="%3."/>
      <w:lvlJc w:val="left"/>
      <w:pPr>
        <w:ind w:left="2510" w:hanging="360"/>
      </w:pPr>
      <w:rPr>
        <w:rFonts w:hint="default"/>
      </w:rPr>
    </w:lvl>
    <w:lvl w:ilvl="3">
      <w:start w:val="1"/>
      <w:numFmt w:val="decimal"/>
      <w:lvlText w:val="%4."/>
      <w:lvlJc w:val="left"/>
      <w:pPr>
        <w:ind w:left="3230" w:hanging="360"/>
      </w:pPr>
      <w:rPr>
        <w:rFonts w:hint="default"/>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7" w15:restartNumberingAfterBreak="0">
    <w:nsid w:val="3A3013A7"/>
    <w:multiLevelType w:val="hybridMultilevel"/>
    <w:tmpl w:val="441AFB1A"/>
    <w:lvl w:ilvl="0" w:tplc="3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C43AE6"/>
    <w:multiLevelType w:val="hybridMultilevel"/>
    <w:tmpl w:val="90520E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363B99"/>
    <w:multiLevelType w:val="hybridMultilevel"/>
    <w:tmpl w:val="D7C061CC"/>
    <w:lvl w:ilvl="0" w:tplc="38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0" w15:restartNumberingAfterBreak="0">
    <w:nsid w:val="46C375CB"/>
    <w:multiLevelType w:val="multilevel"/>
    <w:tmpl w:val="93742D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CBF33E4"/>
    <w:multiLevelType w:val="hybridMultilevel"/>
    <w:tmpl w:val="8F80C8F2"/>
    <w:lvl w:ilvl="0" w:tplc="38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15:restartNumberingAfterBreak="0">
    <w:nsid w:val="75A1663C"/>
    <w:multiLevelType w:val="hybridMultilevel"/>
    <w:tmpl w:val="AD4CD77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79905A1E"/>
    <w:multiLevelType w:val="hybridMultilevel"/>
    <w:tmpl w:val="F756413A"/>
    <w:lvl w:ilvl="0" w:tplc="C992675C">
      <w:start w:val="1"/>
      <w:numFmt w:val="decimal"/>
      <w:lvlText w:val="%1."/>
      <w:lvlJc w:val="left"/>
      <w:pPr>
        <w:ind w:left="300" w:hanging="300"/>
      </w:pPr>
    </w:lvl>
    <w:lvl w:ilvl="1" w:tplc="AFE67D96">
      <w:numFmt w:val="decimal"/>
      <w:lvlText w:val=""/>
      <w:lvlJc w:val="left"/>
    </w:lvl>
    <w:lvl w:ilvl="2" w:tplc="721ACF22">
      <w:numFmt w:val="decimal"/>
      <w:lvlText w:val=""/>
      <w:lvlJc w:val="left"/>
    </w:lvl>
    <w:lvl w:ilvl="3" w:tplc="0088CF72">
      <w:numFmt w:val="decimal"/>
      <w:lvlText w:val=""/>
      <w:lvlJc w:val="left"/>
    </w:lvl>
    <w:lvl w:ilvl="4" w:tplc="F68AC1AE">
      <w:numFmt w:val="decimal"/>
      <w:lvlText w:val=""/>
      <w:lvlJc w:val="left"/>
    </w:lvl>
    <w:lvl w:ilvl="5" w:tplc="CCCC6C1A">
      <w:numFmt w:val="decimal"/>
      <w:lvlText w:val=""/>
      <w:lvlJc w:val="left"/>
    </w:lvl>
    <w:lvl w:ilvl="6" w:tplc="7A046E42">
      <w:numFmt w:val="decimal"/>
      <w:lvlText w:val=""/>
      <w:lvlJc w:val="left"/>
    </w:lvl>
    <w:lvl w:ilvl="7" w:tplc="6052A1EA">
      <w:numFmt w:val="decimal"/>
      <w:lvlText w:val=""/>
      <w:lvlJc w:val="left"/>
    </w:lvl>
    <w:lvl w:ilvl="8" w:tplc="31CA65F4">
      <w:numFmt w:val="decimal"/>
      <w:lvlText w:val=""/>
      <w:lvlJc w:val="left"/>
    </w:lvl>
  </w:abstractNum>
  <w:abstractNum w:abstractNumId="14" w15:restartNumberingAfterBreak="0">
    <w:nsid w:val="7FBF1D8F"/>
    <w:multiLevelType w:val="hybridMultilevel"/>
    <w:tmpl w:val="3DDEBC2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1486630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3319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36690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07760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70717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1650117">
    <w:abstractNumId w:val="12"/>
  </w:num>
  <w:num w:numId="7" w16cid:durableId="1766925295">
    <w:abstractNumId w:val="14"/>
  </w:num>
  <w:num w:numId="8" w16cid:durableId="1697464017">
    <w:abstractNumId w:val="10"/>
  </w:num>
  <w:num w:numId="9" w16cid:durableId="78792975">
    <w:abstractNumId w:val="0"/>
  </w:num>
  <w:num w:numId="10" w16cid:durableId="480198846">
    <w:abstractNumId w:val="3"/>
  </w:num>
  <w:num w:numId="11" w16cid:durableId="1341200057">
    <w:abstractNumId w:val="2"/>
  </w:num>
  <w:num w:numId="12" w16cid:durableId="180975972">
    <w:abstractNumId w:val="5"/>
  </w:num>
  <w:num w:numId="13" w16cid:durableId="564222387">
    <w:abstractNumId w:val="7"/>
  </w:num>
  <w:num w:numId="14" w16cid:durableId="884605232">
    <w:abstractNumId w:val="6"/>
  </w:num>
  <w:num w:numId="15" w16cid:durableId="1099522166">
    <w:abstractNumId w:val="11"/>
  </w:num>
  <w:num w:numId="16" w16cid:durableId="1278217243">
    <w:abstractNumId w:val="9"/>
  </w:num>
  <w:num w:numId="17" w16cid:durableId="1730955907">
    <w:abstractNumId w:val="13"/>
    <w:lvlOverride w:ilvl="0">
      <w:startOverride w:val="1"/>
    </w:lvlOverride>
  </w:num>
  <w:num w:numId="18" w16cid:durableId="1741824479">
    <w:abstractNumId w:val="4"/>
  </w:num>
  <w:num w:numId="19" w16cid:durableId="1293989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A3"/>
    <w:rsid w:val="000864BE"/>
    <w:rsid w:val="000D287D"/>
    <w:rsid w:val="000E48DD"/>
    <w:rsid w:val="000F6F84"/>
    <w:rsid w:val="00111AEB"/>
    <w:rsid w:val="00144B0D"/>
    <w:rsid w:val="00190F3B"/>
    <w:rsid w:val="001B1DDE"/>
    <w:rsid w:val="001B5015"/>
    <w:rsid w:val="001D6CF3"/>
    <w:rsid w:val="001E0D62"/>
    <w:rsid w:val="001F0429"/>
    <w:rsid w:val="00211A14"/>
    <w:rsid w:val="00221DD2"/>
    <w:rsid w:val="00225201"/>
    <w:rsid w:val="002302B0"/>
    <w:rsid w:val="002C36B3"/>
    <w:rsid w:val="002E0455"/>
    <w:rsid w:val="002F625D"/>
    <w:rsid w:val="003238BF"/>
    <w:rsid w:val="003617FA"/>
    <w:rsid w:val="00382F5F"/>
    <w:rsid w:val="003905BB"/>
    <w:rsid w:val="00410E1F"/>
    <w:rsid w:val="00457237"/>
    <w:rsid w:val="0048738C"/>
    <w:rsid w:val="00496665"/>
    <w:rsid w:val="004C0D06"/>
    <w:rsid w:val="004F63AD"/>
    <w:rsid w:val="00521824"/>
    <w:rsid w:val="005228FE"/>
    <w:rsid w:val="0054542A"/>
    <w:rsid w:val="00560D0E"/>
    <w:rsid w:val="0059010F"/>
    <w:rsid w:val="00596C2C"/>
    <w:rsid w:val="005B50E5"/>
    <w:rsid w:val="005F1E75"/>
    <w:rsid w:val="00604492"/>
    <w:rsid w:val="006212F7"/>
    <w:rsid w:val="006435EB"/>
    <w:rsid w:val="006633A2"/>
    <w:rsid w:val="00670DD3"/>
    <w:rsid w:val="00675DDA"/>
    <w:rsid w:val="006A2C7B"/>
    <w:rsid w:val="006C2956"/>
    <w:rsid w:val="006C4BE8"/>
    <w:rsid w:val="006D0B5B"/>
    <w:rsid w:val="00743EF8"/>
    <w:rsid w:val="00764D62"/>
    <w:rsid w:val="00775608"/>
    <w:rsid w:val="007A4085"/>
    <w:rsid w:val="007A4A3C"/>
    <w:rsid w:val="007A7FF7"/>
    <w:rsid w:val="007D6989"/>
    <w:rsid w:val="00844177"/>
    <w:rsid w:val="00845B83"/>
    <w:rsid w:val="00847B23"/>
    <w:rsid w:val="00886A90"/>
    <w:rsid w:val="008B6BA4"/>
    <w:rsid w:val="008C5687"/>
    <w:rsid w:val="008C5F5C"/>
    <w:rsid w:val="008D0044"/>
    <w:rsid w:val="008D0AB8"/>
    <w:rsid w:val="008D0AEA"/>
    <w:rsid w:val="008F054D"/>
    <w:rsid w:val="00917654"/>
    <w:rsid w:val="00921E09"/>
    <w:rsid w:val="00960805"/>
    <w:rsid w:val="00995FE3"/>
    <w:rsid w:val="009E0EAB"/>
    <w:rsid w:val="00A06A3B"/>
    <w:rsid w:val="00A36B2D"/>
    <w:rsid w:val="00A75738"/>
    <w:rsid w:val="00A87A39"/>
    <w:rsid w:val="00AB4F0F"/>
    <w:rsid w:val="00AD0E93"/>
    <w:rsid w:val="00AE0A0D"/>
    <w:rsid w:val="00AF642F"/>
    <w:rsid w:val="00B32CAF"/>
    <w:rsid w:val="00B61FA3"/>
    <w:rsid w:val="00B85875"/>
    <w:rsid w:val="00C122DB"/>
    <w:rsid w:val="00C205C0"/>
    <w:rsid w:val="00C472E3"/>
    <w:rsid w:val="00C50452"/>
    <w:rsid w:val="00C55E64"/>
    <w:rsid w:val="00C70E21"/>
    <w:rsid w:val="00C80C3F"/>
    <w:rsid w:val="00C87143"/>
    <w:rsid w:val="00CC6A88"/>
    <w:rsid w:val="00CE1C9E"/>
    <w:rsid w:val="00D0655C"/>
    <w:rsid w:val="00D07611"/>
    <w:rsid w:val="00D27215"/>
    <w:rsid w:val="00D36ED4"/>
    <w:rsid w:val="00D45947"/>
    <w:rsid w:val="00D930C6"/>
    <w:rsid w:val="00D97319"/>
    <w:rsid w:val="00DA12A4"/>
    <w:rsid w:val="00DA3D58"/>
    <w:rsid w:val="00DA4E51"/>
    <w:rsid w:val="00DA5C44"/>
    <w:rsid w:val="00DA6355"/>
    <w:rsid w:val="00DE1660"/>
    <w:rsid w:val="00DF69AB"/>
    <w:rsid w:val="00DF7481"/>
    <w:rsid w:val="00E06F50"/>
    <w:rsid w:val="00E17546"/>
    <w:rsid w:val="00E2796E"/>
    <w:rsid w:val="00E30E86"/>
    <w:rsid w:val="00E465DD"/>
    <w:rsid w:val="00E515FD"/>
    <w:rsid w:val="00E71F41"/>
    <w:rsid w:val="00E72BB4"/>
    <w:rsid w:val="00EB61F5"/>
    <w:rsid w:val="00EC579C"/>
    <w:rsid w:val="00F148CE"/>
    <w:rsid w:val="00F15681"/>
    <w:rsid w:val="00F23A17"/>
    <w:rsid w:val="00F46D69"/>
    <w:rsid w:val="00F61702"/>
    <w:rsid w:val="00F84BA2"/>
    <w:rsid w:val="00FB3AE3"/>
    <w:rsid w:val="00FB453E"/>
    <w:rsid w:val="00FD3B72"/>
    <w:rsid w:val="00FF4A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0E618"/>
  <w15:chartTrackingRefBased/>
  <w15:docId w15:val="{37B5DAC4-9AA1-43E1-B5BA-4E1E970DF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FA3"/>
    <w:pPr>
      <w:spacing w:line="259" w:lineRule="auto"/>
    </w:pPr>
    <w:rPr>
      <w:rFonts w:ascii="Calibri" w:eastAsia="Calibri" w:hAnsi="Calibri" w:cs="Calibri"/>
      <w:kern w:val="0"/>
      <w:sz w:val="22"/>
      <w:szCs w:val="22"/>
      <w:lang w:eastAsia="en-ID"/>
      <w14:ligatures w14:val="none"/>
    </w:rPr>
  </w:style>
  <w:style w:type="paragraph" w:styleId="Heading1">
    <w:name w:val="heading 1"/>
    <w:basedOn w:val="Normal"/>
    <w:next w:val="Normal"/>
    <w:link w:val="Heading1Char"/>
    <w:uiPriority w:val="9"/>
    <w:qFormat/>
    <w:rsid w:val="00B61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1F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F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1F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1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1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1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1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F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F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F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F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F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F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F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F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FA3"/>
    <w:rPr>
      <w:rFonts w:eastAsiaTheme="majorEastAsia" w:cstheme="majorBidi"/>
      <w:color w:val="272727" w:themeColor="text1" w:themeTint="D8"/>
    </w:rPr>
  </w:style>
  <w:style w:type="paragraph" w:styleId="Title">
    <w:name w:val="Title"/>
    <w:basedOn w:val="Normal"/>
    <w:next w:val="Normal"/>
    <w:link w:val="TitleChar"/>
    <w:uiPriority w:val="10"/>
    <w:qFormat/>
    <w:rsid w:val="00B61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F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FA3"/>
    <w:pPr>
      <w:spacing w:before="160"/>
      <w:jc w:val="center"/>
    </w:pPr>
    <w:rPr>
      <w:i/>
      <w:iCs/>
      <w:color w:val="404040" w:themeColor="text1" w:themeTint="BF"/>
    </w:rPr>
  </w:style>
  <w:style w:type="character" w:customStyle="1" w:styleId="QuoteChar">
    <w:name w:val="Quote Char"/>
    <w:basedOn w:val="DefaultParagraphFont"/>
    <w:link w:val="Quote"/>
    <w:uiPriority w:val="29"/>
    <w:rsid w:val="00B61FA3"/>
    <w:rPr>
      <w:i/>
      <w:iCs/>
      <w:color w:val="404040" w:themeColor="text1" w:themeTint="BF"/>
    </w:rPr>
  </w:style>
  <w:style w:type="paragraph" w:styleId="ListParagraph">
    <w:name w:val="List Paragraph"/>
    <w:aliases w:val="Normal1,Body of text,List Paragraph1,Normal11,Normal2,Normal3,Normal4,Normal5,Normal6,Normal7,Normal111,Normal1111,Normal8,Normal9,Normal10,Normal12,Normal13,Normal14,Normal15,Normal16,Normal17,Colorful List - Accent 11,Normal31,Normal21"/>
    <w:basedOn w:val="Normal"/>
    <w:link w:val="ListParagraphChar"/>
    <w:uiPriority w:val="34"/>
    <w:qFormat/>
    <w:rsid w:val="00B61FA3"/>
    <w:pPr>
      <w:ind w:left="720"/>
      <w:contextualSpacing/>
    </w:pPr>
  </w:style>
  <w:style w:type="character" w:styleId="IntenseEmphasis">
    <w:name w:val="Intense Emphasis"/>
    <w:basedOn w:val="DefaultParagraphFont"/>
    <w:uiPriority w:val="21"/>
    <w:qFormat/>
    <w:rsid w:val="00B61FA3"/>
    <w:rPr>
      <w:i/>
      <w:iCs/>
      <w:color w:val="0F4761" w:themeColor="accent1" w:themeShade="BF"/>
    </w:rPr>
  </w:style>
  <w:style w:type="paragraph" w:styleId="IntenseQuote">
    <w:name w:val="Intense Quote"/>
    <w:basedOn w:val="Normal"/>
    <w:next w:val="Normal"/>
    <w:link w:val="IntenseQuoteChar"/>
    <w:uiPriority w:val="30"/>
    <w:qFormat/>
    <w:rsid w:val="00B61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FA3"/>
    <w:rPr>
      <w:i/>
      <w:iCs/>
      <w:color w:val="0F4761" w:themeColor="accent1" w:themeShade="BF"/>
    </w:rPr>
  </w:style>
  <w:style w:type="character" w:styleId="IntenseReference">
    <w:name w:val="Intense Reference"/>
    <w:basedOn w:val="DefaultParagraphFont"/>
    <w:uiPriority w:val="32"/>
    <w:qFormat/>
    <w:rsid w:val="00B61FA3"/>
    <w:rPr>
      <w:b/>
      <w:bCs/>
      <w:smallCaps/>
      <w:color w:val="0F4761" w:themeColor="accent1" w:themeShade="BF"/>
      <w:spacing w:val="5"/>
    </w:rPr>
  </w:style>
  <w:style w:type="character" w:styleId="Hyperlink">
    <w:name w:val="Hyperlink"/>
    <w:basedOn w:val="DefaultParagraphFont"/>
    <w:uiPriority w:val="99"/>
    <w:unhideWhenUsed/>
    <w:rsid w:val="00B61FA3"/>
    <w:rPr>
      <w:color w:val="467886" w:themeColor="hyperlink"/>
      <w:u w:val="single"/>
    </w:rPr>
  </w:style>
  <w:style w:type="paragraph" w:styleId="Footer">
    <w:name w:val="footer"/>
    <w:basedOn w:val="Normal"/>
    <w:link w:val="FooterChar"/>
    <w:uiPriority w:val="99"/>
    <w:unhideWhenUsed/>
    <w:rsid w:val="00B61F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FA3"/>
    <w:rPr>
      <w:rFonts w:ascii="Calibri" w:eastAsia="Calibri" w:hAnsi="Calibri" w:cs="Calibri"/>
      <w:kern w:val="0"/>
      <w:sz w:val="22"/>
      <w:szCs w:val="22"/>
      <w:lang w:eastAsia="en-ID"/>
      <w14:ligatures w14:val="none"/>
    </w:rPr>
  </w:style>
  <w:style w:type="table" w:styleId="TableGrid">
    <w:name w:val="Table Grid"/>
    <w:basedOn w:val="TableNormal"/>
    <w:uiPriority w:val="39"/>
    <w:rsid w:val="00B61FA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1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FA3"/>
    <w:rPr>
      <w:rFonts w:ascii="Calibri" w:eastAsia="Calibri" w:hAnsi="Calibri" w:cs="Calibri"/>
      <w:kern w:val="0"/>
      <w:sz w:val="22"/>
      <w:szCs w:val="22"/>
      <w:lang w:eastAsia="en-ID"/>
      <w14:ligatures w14:val="none"/>
    </w:rPr>
  </w:style>
  <w:style w:type="paragraph" w:styleId="BodyText">
    <w:name w:val="Body Text"/>
    <w:basedOn w:val="Normal"/>
    <w:link w:val="BodyTextChar"/>
    <w:qFormat/>
    <w:rsid w:val="00B61FA3"/>
    <w:pPr>
      <w:spacing w:before="180" w:after="180" w:line="240" w:lineRule="auto"/>
    </w:pPr>
    <w:rPr>
      <w:rFonts w:asciiTheme="minorHAnsi" w:eastAsiaTheme="minorHAnsi" w:hAnsiTheme="minorHAnsi" w:cstheme="minorBidi"/>
      <w:sz w:val="24"/>
      <w:szCs w:val="24"/>
      <w:lang w:val="en-US" w:eastAsia="en-US"/>
    </w:rPr>
  </w:style>
  <w:style w:type="character" w:customStyle="1" w:styleId="BodyTextChar">
    <w:name w:val="Body Text Char"/>
    <w:basedOn w:val="DefaultParagraphFont"/>
    <w:link w:val="BodyText"/>
    <w:rsid w:val="00B61FA3"/>
    <w:rPr>
      <w:kern w:val="0"/>
      <w:lang w:val="en-US"/>
      <w14:ligatures w14:val="none"/>
    </w:rPr>
  </w:style>
  <w:style w:type="paragraph" w:customStyle="1" w:styleId="FirstParagraph">
    <w:name w:val="First Paragraph"/>
    <w:basedOn w:val="BodyText"/>
    <w:next w:val="BodyText"/>
    <w:qFormat/>
    <w:rsid w:val="00B61FA3"/>
  </w:style>
  <w:style w:type="paragraph" w:customStyle="1" w:styleId="Compact">
    <w:name w:val="Compact"/>
    <w:basedOn w:val="BodyText"/>
    <w:qFormat/>
    <w:rsid w:val="00B61FA3"/>
    <w:pPr>
      <w:spacing w:before="36" w:after="36"/>
    </w:pPr>
  </w:style>
  <w:style w:type="character" w:styleId="UnresolvedMention">
    <w:name w:val="Unresolved Mention"/>
    <w:basedOn w:val="DefaultParagraphFont"/>
    <w:uiPriority w:val="99"/>
    <w:semiHidden/>
    <w:unhideWhenUsed/>
    <w:rsid w:val="00DF69AB"/>
    <w:rPr>
      <w:color w:val="605E5C"/>
      <w:shd w:val="clear" w:color="auto" w:fill="E1DFDD"/>
    </w:rPr>
  </w:style>
  <w:style w:type="character" w:styleId="Strong">
    <w:name w:val="Strong"/>
    <w:basedOn w:val="DefaultParagraphFont"/>
    <w:uiPriority w:val="22"/>
    <w:qFormat/>
    <w:rsid w:val="005228FE"/>
    <w:rPr>
      <w:b/>
      <w:bCs/>
    </w:rPr>
  </w:style>
  <w:style w:type="paragraph" w:styleId="Caption">
    <w:name w:val="caption"/>
    <w:basedOn w:val="Normal"/>
    <w:next w:val="Normal"/>
    <w:uiPriority w:val="35"/>
    <w:unhideWhenUsed/>
    <w:qFormat/>
    <w:rsid w:val="005228FE"/>
    <w:pPr>
      <w:spacing w:after="200" w:line="240" w:lineRule="auto"/>
    </w:pPr>
    <w:rPr>
      <w:rFonts w:eastAsia="SimSun" w:cs="Times New Roman"/>
      <w:i/>
      <w:iCs/>
      <w:color w:val="0E2841" w:themeColor="text2"/>
      <w:sz w:val="18"/>
      <w:szCs w:val="18"/>
      <w:lang w:val="en" w:eastAsia="zh-CN"/>
    </w:rPr>
  </w:style>
  <w:style w:type="character" w:customStyle="1" w:styleId="ListParagraphChar">
    <w:name w:val="List Paragraph Char"/>
    <w:aliases w:val="Normal1 Char,Body of text Char,List Paragraph1 Char,Normal11 Char,Normal2 Char,Normal3 Char,Normal4 Char,Normal5 Char,Normal6 Char,Normal7 Char,Normal111 Char,Normal1111 Char,Normal8 Char,Normal9 Char,Normal10 Char,Normal12 Char"/>
    <w:basedOn w:val="DefaultParagraphFont"/>
    <w:link w:val="ListParagraph"/>
    <w:uiPriority w:val="34"/>
    <w:rsid w:val="005228FE"/>
    <w:rPr>
      <w:rFonts w:ascii="Calibri" w:eastAsia="Calibri" w:hAnsi="Calibri" w:cs="Calibri"/>
      <w:kern w:val="0"/>
      <w:sz w:val="22"/>
      <w:szCs w:val="22"/>
      <w:lang w:eastAsia="en-ID"/>
      <w14:ligatures w14:val="none"/>
    </w:rPr>
  </w:style>
  <w:style w:type="character" w:styleId="Emphasis">
    <w:name w:val="Emphasis"/>
    <w:basedOn w:val="DefaultParagraphFont"/>
    <w:uiPriority w:val="20"/>
    <w:qFormat/>
    <w:rsid w:val="00FB3AE3"/>
    <w:rPr>
      <w:i/>
      <w:iCs/>
    </w:rPr>
  </w:style>
  <w:style w:type="paragraph" w:styleId="NormalWeb">
    <w:name w:val="Normal (Web)"/>
    <w:basedOn w:val="Normal"/>
    <w:uiPriority w:val="99"/>
    <w:unhideWhenUsed/>
    <w:rsid w:val="00FB3AE3"/>
    <w:pPr>
      <w:spacing w:before="100" w:beforeAutospacing="1" w:after="100" w:afterAutospacing="1" w:line="240" w:lineRule="auto"/>
    </w:pPr>
    <w:rPr>
      <w:rFonts w:ascii="Times New Roman" w:eastAsia="Times New Roman" w:hAnsi="Times New Roman" w:cs="Times New Roman"/>
      <w:sz w:val="24"/>
      <w:szCs w:val="24"/>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ces/by-sa/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journal.midpublisher.com/index.php/ssij" TargetMode="External"/><Relationship Id="rId2" Type="http://schemas.openxmlformats.org/officeDocument/2006/relationships/hyperlink" Target="https://midpublisher.com/" TargetMode="External"/><Relationship Id="rId1"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6850</Words>
  <Characters>39049</Characters>
  <Application>Microsoft Office Word</Application>
  <DocSecurity>0</DocSecurity>
  <Lines>325</Lines>
  <Paragraphs>91</Paragraphs>
  <ScaleCrop>false</ScaleCrop>
  <Company/>
  <LinksUpToDate>false</LinksUpToDate>
  <CharactersWithSpaces>45808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on media education cooperation between China and Azerbaijan in the context of the Belt and Road Initiative</dc:title>
  <dc:subject/>
  <dc:creator>Muhammad Ikhlash, S.E., M.Ak., Ak.</dc:creator>
  <cp:keywords/>
  <dc:description/>
  <cp:lastModifiedBy>Muhammad Ikhlash, S.E., M.Ak., Ak.</cp:lastModifiedBy>
  <cp:revision>4</cp:revision>
  <dcterms:created xsi:type="dcterms:W3CDTF">2026-10-23T05:58:00Z</dcterms:created>
  <dcterms:modified xsi:type="dcterms:W3CDTF">2026-10-23T05:59:00Z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3d1c4d11-8c5e-4f45-9b3e-0e1b3c0f654b</vt:lpwstr>
  </property>
</Properties>
</file>